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4747C" w14:textId="77777777" w:rsidR="00C87B2A" w:rsidRPr="00E435C0" w:rsidRDefault="00C87B2A" w:rsidP="00AC418D">
      <w:pPr>
        <w:pStyle w:val="Title"/>
        <w:spacing w:line="480" w:lineRule="auto"/>
      </w:pPr>
      <w:r w:rsidRPr="00E435C0">
        <w:t xml:space="preserve">Continental Scale Assessment of Variation in Floodplain Roughness </w:t>
      </w:r>
    </w:p>
    <w:p w14:paraId="6EAEA44E" w14:textId="0E919E30" w:rsidR="00C94AA5" w:rsidRPr="00E435C0" w:rsidRDefault="00C87B2A" w:rsidP="00AC418D">
      <w:pPr>
        <w:pStyle w:val="Title"/>
        <w:spacing w:line="480" w:lineRule="auto"/>
      </w:pPr>
      <w:r w:rsidRPr="00E435C0">
        <w:t>with Vegetation and Flow Characteristics</w:t>
      </w:r>
    </w:p>
    <w:p w14:paraId="1C1CBD58" w14:textId="77777777" w:rsidR="00C87B2A" w:rsidRPr="00E435C0" w:rsidRDefault="00C87B2A" w:rsidP="00AC418D">
      <w:pPr>
        <w:pStyle w:val="Note"/>
        <w:spacing w:line="480" w:lineRule="auto"/>
        <w:rPr>
          <w:rFonts w:eastAsia="Times New Roman"/>
          <w:b/>
          <w:color w:val="auto"/>
          <w:sz w:val="24"/>
          <w:szCs w:val="24"/>
        </w:rPr>
      </w:pPr>
    </w:p>
    <w:p w14:paraId="29C1462E" w14:textId="7FCA8D42" w:rsidR="00C87B2A" w:rsidRPr="00E435C0" w:rsidRDefault="00C87B2A" w:rsidP="00AC418D">
      <w:pPr>
        <w:pStyle w:val="Note"/>
        <w:spacing w:line="480" w:lineRule="auto"/>
        <w:rPr>
          <w:rFonts w:eastAsia="Times New Roman"/>
          <w:b/>
          <w:color w:val="auto"/>
          <w:sz w:val="24"/>
          <w:szCs w:val="24"/>
        </w:rPr>
      </w:pPr>
      <w:r w:rsidRPr="00E435C0">
        <w:rPr>
          <w:rFonts w:eastAsia="Times New Roman"/>
          <w:b/>
          <w:color w:val="auto"/>
          <w:sz w:val="24"/>
          <w:szCs w:val="24"/>
        </w:rPr>
        <w:t>G</w:t>
      </w:r>
      <w:r w:rsidR="00AC418D" w:rsidRPr="00E435C0">
        <w:rPr>
          <w:rFonts w:eastAsia="Times New Roman"/>
          <w:b/>
          <w:color w:val="auto"/>
          <w:sz w:val="24"/>
          <w:szCs w:val="24"/>
        </w:rPr>
        <w:t>abriel</w:t>
      </w:r>
      <w:r w:rsidRPr="00E435C0">
        <w:rPr>
          <w:rFonts w:eastAsia="Times New Roman"/>
          <w:b/>
          <w:color w:val="auto"/>
          <w:sz w:val="24"/>
          <w:szCs w:val="24"/>
        </w:rPr>
        <w:t xml:space="preserve"> Barinas</w:t>
      </w:r>
      <w:r w:rsidRPr="00E435C0">
        <w:rPr>
          <w:rFonts w:eastAsia="Times New Roman"/>
          <w:b/>
          <w:color w:val="auto"/>
          <w:sz w:val="24"/>
          <w:szCs w:val="24"/>
          <w:vertAlign w:val="superscript"/>
        </w:rPr>
        <w:t xml:space="preserve">1, 2, </w:t>
      </w:r>
      <w:r w:rsidRPr="00E435C0">
        <w:rPr>
          <w:rFonts w:eastAsia="Times New Roman"/>
          <w:b/>
          <w:color w:val="auto"/>
          <w:sz w:val="24"/>
          <w:szCs w:val="24"/>
        </w:rPr>
        <w:t>*, Stephen P. Good</w:t>
      </w:r>
      <w:r w:rsidRPr="00E435C0">
        <w:rPr>
          <w:rFonts w:eastAsia="Times New Roman"/>
          <w:b/>
          <w:color w:val="auto"/>
          <w:sz w:val="24"/>
          <w:szCs w:val="24"/>
          <w:vertAlign w:val="superscript"/>
        </w:rPr>
        <w:t>1, 2</w:t>
      </w:r>
      <w:r w:rsidRPr="00E435C0">
        <w:rPr>
          <w:rFonts w:eastAsia="Times New Roman"/>
          <w:b/>
          <w:color w:val="auto"/>
          <w:sz w:val="24"/>
          <w:szCs w:val="24"/>
        </w:rPr>
        <w:t>, and D</w:t>
      </w:r>
      <w:r w:rsidR="00FD19C6" w:rsidRPr="00E435C0">
        <w:rPr>
          <w:rFonts w:eastAsia="Times New Roman"/>
          <w:b/>
          <w:color w:val="auto"/>
          <w:sz w:val="24"/>
          <w:szCs w:val="24"/>
        </w:rPr>
        <w:t>esiree</w:t>
      </w:r>
      <w:r w:rsidRPr="00E435C0">
        <w:rPr>
          <w:rFonts w:eastAsia="Times New Roman"/>
          <w:b/>
          <w:color w:val="auto"/>
          <w:sz w:val="24"/>
          <w:szCs w:val="24"/>
        </w:rPr>
        <w:t xml:space="preserve"> Tullos</w:t>
      </w:r>
      <w:r w:rsidRPr="00E435C0">
        <w:rPr>
          <w:rFonts w:eastAsia="Times New Roman"/>
          <w:b/>
          <w:color w:val="auto"/>
          <w:sz w:val="24"/>
          <w:szCs w:val="24"/>
          <w:vertAlign w:val="superscript"/>
        </w:rPr>
        <w:t>1, 2</w:t>
      </w:r>
    </w:p>
    <w:p w14:paraId="42656699" w14:textId="36190EAB" w:rsidR="00C87B2A" w:rsidRPr="00E435C0" w:rsidRDefault="00C87B2A" w:rsidP="00AC418D">
      <w:pPr>
        <w:pStyle w:val="Affiliation"/>
        <w:spacing w:line="480" w:lineRule="auto"/>
      </w:pPr>
      <w:r w:rsidRPr="00E435C0">
        <w:rPr>
          <w:vertAlign w:val="superscript"/>
        </w:rPr>
        <w:t>1</w:t>
      </w:r>
      <w:r w:rsidRPr="00E435C0">
        <w:t>Water Resources Graduate Program, Oregon State University</w:t>
      </w:r>
    </w:p>
    <w:p w14:paraId="471DCD07" w14:textId="77777777" w:rsidR="00C87B2A" w:rsidRPr="00E435C0" w:rsidRDefault="00C87B2A" w:rsidP="00AC418D">
      <w:pPr>
        <w:pStyle w:val="Affiliation"/>
        <w:spacing w:line="480" w:lineRule="auto"/>
      </w:pPr>
      <w:r w:rsidRPr="00E435C0">
        <w:rPr>
          <w:vertAlign w:val="superscript"/>
        </w:rPr>
        <w:t>2</w:t>
      </w:r>
      <w:r w:rsidRPr="00E435C0">
        <w:t>Department of Biological &amp; Ecological Engineering, Oregon State University</w:t>
      </w:r>
    </w:p>
    <w:p w14:paraId="5D4F7064" w14:textId="72D26ED0" w:rsidR="00C87B2A" w:rsidRPr="00E435C0" w:rsidRDefault="00C87B2A" w:rsidP="00AC418D">
      <w:pPr>
        <w:pStyle w:val="Affiliation"/>
        <w:spacing w:line="480" w:lineRule="auto"/>
      </w:pPr>
      <w:r w:rsidRPr="00E435C0">
        <w:t>* Corresponding author: Gabriel Barinas (</w:t>
      </w:r>
      <w:hyperlink r:id="rId8" w:history="1">
        <w:r w:rsidRPr="00E435C0">
          <w:rPr>
            <w:rStyle w:val="Hyperlink"/>
          </w:rPr>
          <w:t>barinasg@oregonstate.edu)</w:t>
        </w:r>
      </w:hyperlink>
    </w:p>
    <w:p w14:paraId="2EBE5189" w14:textId="77777777" w:rsidR="00C87B2A" w:rsidRPr="00E435C0" w:rsidRDefault="00C87B2A" w:rsidP="00AC418D">
      <w:pPr>
        <w:pStyle w:val="Affiliation"/>
        <w:spacing w:line="480" w:lineRule="auto"/>
      </w:pPr>
    </w:p>
    <w:p w14:paraId="52EAA876" w14:textId="0F4D9CB3" w:rsidR="00C94AA5" w:rsidRPr="00E435C0" w:rsidRDefault="00C94AA5" w:rsidP="00AC418D">
      <w:pPr>
        <w:pStyle w:val="Heading-Main"/>
        <w:spacing w:line="480" w:lineRule="auto"/>
      </w:pPr>
      <w:r w:rsidRPr="00E435C0">
        <w:t>Key Points:</w:t>
      </w:r>
    </w:p>
    <w:p w14:paraId="7EEAD3EB" w14:textId="0FA9DE20" w:rsidR="00C87B2A" w:rsidRPr="00E435C0" w:rsidRDefault="00456E71" w:rsidP="00AC418D">
      <w:pPr>
        <w:pStyle w:val="KeyPoints"/>
        <w:numPr>
          <w:ilvl w:val="0"/>
          <w:numId w:val="9"/>
        </w:numPr>
        <w:spacing w:line="480" w:lineRule="auto"/>
      </w:pPr>
      <w:r w:rsidRPr="00E435C0">
        <w:t>4,927 estimates of floodplain roughness were calculated using flow observations and compared to LiDAR vegetation data</w:t>
      </w:r>
      <w:r w:rsidR="004C2660" w:rsidRPr="00E435C0">
        <w:t>.</w:t>
      </w:r>
    </w:p>
    <w:p w14:paraId="11D0D6C9" w14:textId="7FD23388" w:rsidR="00C87B2A" w:rsidRPr="00E435C0" w:rsidRDefault="00C87B2A" w:rsidP="00AF0585">
      <w:pPr>
        <w:pStyle w:val="KeyPoints"/>
        <w:numPr>
          <w:ilvl w:val="0"/>
          <w:numId w:val="9"/>
        </w:numPr>
        <w:spacing w:line="480" w:lineRule="auto"/>
      </w:pPr>
      <w:r w:rsidRPr="00E435C0">
        <w:t xml:space="preserve">Floodplain roughness increases </w:t>
      </w:r>
      <w:r w:rsidR="00153648" w:rsidRPr="00E435C0">
        <w:t xml:space="preserve">with </w:t>
      </w:r>
      <w:r w:rsidR="00B66C73" w:rsidRPr="00E435C0">
        <w:t>increasing</w:t>
      </w:r>
      <w:r w:rsidR="00153648" w:rsidRPr="00E435C0">
        <w:t xml:space="preserve"> biomass and</w:t>
      </w:r>
      <w:r w:rsidR="00B66C73" w:rsidRPr="00E435C0">
        <w:t xml:space="preserve"> </w:t>
      </w:r>
      <w:r w:rsidRPr="00E435C0">
        <w:t xml:space="preserve">inundation </w:t>
      </w:r>
      <w:r w:rsidR="004C2660" w:rsidRPr="00E435C0">
        <w:t>depths</w:t>
      </w:r>
      <w:r w:rsidR="00D413F0" w:rsidRPr="00E435C0">
        <w:t xml:space="preserve"> and</w:t>
      </w:r>
      <w:r w:rsidR="441A0A13" w:rsidRPr="00E435C0">
        <w:t xml:space="preserve"> decreases</w:t>
      </w:r>
      <w:r w:rsidR="00153648" w:rsidRPr="00E435C0">
        <w:t xml:space="preserve"> with increasing flow velocity.</w:t>
      </w:r>
    </w:p>
    <w:p w14:paraId="2ED9A228" w14:textId="447EB250" w:rsidR="6671324A" w:rsidRPr="00E435C0" w:rsidRDefault="00134BB3" w:rsidP="07F14380">
      <w:pPr>
        <w:pStyle w:val="KeyPoints"/>
        <w:numPr>
          <w:ilvl w:val="0"/>
          <w:numId w:val="9"/>
        </w:numPr>
        <w:spacing w:line="480" w:lineRule="auto"/>
      </w:pPr>
      <w:r w:rsidRPr="00E435C0">
        <w:rPr>
          <w:rStyle w:val="ui-provider"/>
        </w:rPr>
        <w:t>Our model's Manning's n estimates yield lower errors in reach-scale floodplain flow predictions than n based solely on land cover.</w:t>
      </w:r>
    </w:p>
    <w:p w14:paraId="0DAA8FED" w14:textId="77777777" w:rsidR="00D153E2" w:rsidRPr="00E435C0" w:rsidRDefault="00D153E2">
      <w:pPr>
        <w:rPr>
          <w:rFonts w:eastAsia="Times New Roman"/>
          <w:b/>
          <w:bCs/>
          <w:kern w:val="28"/>
          <w:sz w:val="24"/>
          <w:szCs w:val="24"/>
        </w:rPr>
      </w:pPr>
      <w:r w:rsidRPr="00E435C0">
        <w:br w:type="page"/>
      </w:r>
    </w:p>
    <w:p w14:paraId="2659CCE1" w14:textId="545CF833" w:rsidR="002F3B11" w:rsidRPr="00E435C0" w:rsidRDefault="008A6077" w:rsidP="00AC418D">
      <w:pPr>
        <w:pStyle w:val="Heading-Main"/>
        <w:spacing w:line="480" w:lineRule="auto"/>
      </w:pPr>
      <w:r w:rsidRPr="00E435C0">
        <w:lastRenderedPageBreak/>
        <w:t>Abstract</w:t>
      </w:r>
    </w:p>
    <w:p w14:paraId="20DCD43A" w14:textId="03E0D236" w:rsidR="00FD19C6" w:rsidRPr="00E435C0" w:rsidRDefault="2117118C" w:rsidP="00AC418D">
      <w:pPr>
        <w:pStyle w:val="Abstract"/>
        <w:spacing w:line="480" w:lineRule="auto"/>
        <w:rPr>
          <w:color w:val="FF0000"/>
        </w:rPr>
      </w:pPr>
      <w:r w:rsidRPr="00E435C0">
        <w:t>Quantifying floodplain flow</w:t>
      </w:r>
      <w:r w:rsidR="00BC1B24" w:rsidRPr="00E435C0">
        <w:t>s</w:t>
      </w:r>
      <w:r w:rsidRPr="00E435C0">
        <w:t xml:space="preserve"> is critical to multiple river management objectives, </w:t>
      </w:r>
      <w:r w:rsidR="00CC2FC7" w:rsidRPr="00E435C0">
        <w:t xml:space="preserve">yet </w:t>
      </w:r>
      <w:r w:rsidRPr="00E435C0">
        <w:t xml:space="preserve">how </w:t>
      </w:r>
      <w:r w:rsidR="003677FB" w:rsidRPr="00E435C0">
        <w:t xml:space="preserve">vegetation within </w:t>
      </w:r>
      <w:r w:rsidRPr="00E435C0">
        <w:t>floodplain</w:t>
      </w:r>
      <w:r w:rsidR="003677FB" w:rsidRPr="00E435C0">
        <w:t>s</w:t>
      </w:r>
      <w:r w:rsidRPr="00E435C0">
        <w:t xml:space="preserve"> </w:t>
      </w:r>
      <w:r w:rsidR="762C4C4A" w:rsidRPr="00E435C0">
        <w:t>dissipates</w:t>
      </w:r>
      <w:r w:rsidRPr="00E435C0">
        <w:t xml:space="preserve"> flow</w:t>
      </w:r>
      <w:r w:rsidR="1940E77C" w:rsidRPr="00E435C0">
        <w:t xml:space="preserve"> energy</w:t>
      </w:r>
      <w:r w:rsidRPr="00E435C0">
        <w:t xml:space="preserve"> lacks comprehensive </w:t>
      </w:r>
      <w:r w:rsidR="00CC2FC7" w:rsidRPr="00E435C0">
        <w:t>characterization</w:t>
      </w:r>
      <w:r w:rsidRPr="00E435C0">
        <w:t xml:space="preserve">. </w:t>
      </w:r>
      <w:r w:rsidR="008E0ADD" w:rsidRPr="00E435C0">
        <w:t>U</w:t>
      </w:r>
      <w:r w:rsidRPr="00E435C0">
        <w:t>tilizing over 3.</w:t>
      </w:r>
      <w:r w:rsidR="572D24C1" w:rsidRPr="00E435C0">
        <w:t>4</w:t>
      </w:r>
      <w:r w:rsidRPr="00E435C0">
        <w:t xml:space="preserve"> million discharge measurements, in conjunction with </w:t>
      </w:r>
      <w:r w:rsidR="00531FBD" w:rsidRPr="00E435C0">
        <w:t xml:space="preserve">aboveground biomass and canopy height </w:t>
      </w:r>
      <w:r w:rsidRPr="00E435C0">
        <w:t xml:space="preserve">measurements from NASA’s Global Ecosystem Dynamics Investigation (GEDI), this study characterizes </w:t>
      </w:r>
      <w:r w:rsidR="00531FBD" w:rsidRPr="00E435C0">
        <w:t xml:space="preserve">the </w:t>
      </w:r>
      <w:r w:rsidRPr="00E435C0">
        <w:t>floodplain roughness</w:t>
      </w:r>
      <w:r w:rsidR="00531FBD" w:rsidRPr="00E435C0">
        <w:t xml:space="preserve"> coefficient Manning’s </w:t>
      </w:r>
      <w:r w:rsidR="00531FBD" w:rsidRPr="00E435C0">
        <w:rPr>
          <w:i/>
          <w:iCs/>
        </w:rPr>
        <w:t xml:space="preserve">n </w:t>
      </w:r>
      <w:r w:rsidRPr="00E435C0">
        <w:t xml:space="preserve">and its </w:t>
      </w:r>
      <w:r w:rsidR="0FA7E350" w:rsidRPr="00E435C0">
        <w:t>determinates</w:t>
      </w:r>
      <w:r w:rsidRPr="00E435C0">
        <w:t xml:space="preserve"> across the continental United States. </w:t>
      </w:r>
      <w:r w:rsidR="0FA7E350" w:rsidRPr="00E435C0">
        <w:t>E</w:t>
      </w:r>
      <w:r w:rsidRPr="00E435C0">
        <w:t>stimate</w:t>
      </w:r>
      <w:r w:rsidR="0FA7E350" w:rsidRPr="00E435C0">
        <w:t>d values</w:t>
      </w:r>
      <w:r w:rsidRPr="00E435C0">
        <w:t xml:space="preserve"> of </w:t>
      </w:r>
      <w:r w:rsidRPr="00E435C0">
        <w:rPr>
          <w:i/>
          <w:iCs/>
        </w:rPr>
        <w:t>n</w:t>
      </w:r>
      <w:r w:rsidRPr="00E435C0">
        <w:t xml:space="preserve"> show </w:t>
      </w:r>
      <w:r w:rsidR="00531FBD" w:rsidRPr="00E435C0">
        <w:t xml:space="preserve">that </w:t>
      </w:r>
      <w:r w:rsidRPr="00E435C0">
        <w:t>flow resistance in floodplains decrea</w:t>
      </w:r>
      <w:r w:rsidR="00531FBD" w:rsidRPr="00E435C0">
        <w:t>ses</w:t>
      </w:r>
      <w:r w:rsidRPr="00E435C0">
        <w:t xml:space="preserve"> as</w:t>
      </w:r>
      <w:r w:rsidR="0FA7E350" w:rsidRPr="00E435C0">
        <w:t xml:space="preserve"> flow</w:t>
      </w:r>
      <w:r w:rsidRPr="00E435C0">
        <w:t xml:space="preserve"> velocity increases but increas</w:t>
      </w:r>
      <w:r w:rsidR="00531FBD" w:rsidRPr="00E435C0">
        <w:t>es</w:t>
      </w:r>
      <w:r w:rsidRPr="00E435C0">
        <w:t xml:space="preserve"> with</w:t>
      </w:r>
      <w:r w:rsidR="0213982A" w:rsidRPr="00E435C0">
        <w:t xml:space="preserve"> the</w:t>
      </w:r>
      <w:r w:rsidRPr="00E435C0">
        <w:t xml:space="preserve"> </w:t>
      </w:r>
      <w:r w:rsidR="0213982A" w:rsidRPr="00E435C0">
        <w:t xml:space="preserve">fraction of vegetation </w:t>
      </w:r>
      <w:r w:rsidRPr="00E435C0">
        <w:t>inundat</w:t>
      </w:r>
      <w:r w:rsidR="0FA7E350" w:rsidRPr="00E435C0">
        <w:t>ed</w:t>
      </w:r>
      <w:r w:rsidRPr="00E435C0">
        <w:t>. A new function</w:t>
      </w:r>
      <w:r w:rsidR="00531FBD" w:rsidRPr="00E435C0">
        <w:t xml:space="preserve"> (RMSE = 0.024, r</w:t>
      </w:r>
      <w:r w:rsidR="00531FBD" w:rsidRPr="00E435C0">
        <w:rPr>
          <w:vertAlign w:val="superscript"/>
        </w:rPr>
        <w:t>2</w:t>
      </w:r>
      <w:r w:rsidR="00531FBD" w:rsidRPr="00E435C0">
        <w:t xml:space="preserve"> = 0.74)</w:t>
      </w:r>
      <w:r w:rsidRPr="00E435C0">
        <w:t xml:space="preserve"> is proposed for predicting </w:t>
      </w:r>
      <w:r w:rsidRPr="00E435C0">
        <w:rPr>
          <w:i/>
          <w:iCs/>
        </w:rPr>
        <w:t>n</w:t>
      </w:r>
      <w:r w:rsidRPr="00E435C0">
        <w:t xml:space="preserve"> </w:t>
      </w:r>
      <w:r w:rsidR="0FA7E350" w:rsidRPr="00E435C0">
        <w:t>based</w:t>
      </w:r>
      <w:r w:rsidRPr="00E435C0">
        <w:t xml:space="preserve"> </w:t>
      </w:r>
      <w:r w:rsidR="00D82ABE" w:rsidRPr="00E435C0">
        <w:t>on</w:t>
      </w:r>
      <w:r w:rsidRPr="00E435C0">
        <w:t xml:space="preserve"> </w:t>
      </w:r>
      <w:r w:rsidR="00531FBD" w:rsidRPr="00E435C0">
        <w:t xml:space="preserve">GEDI </w:t>
      </w:r>
      <w:r w:rsidRPr="00E435C0">
        <w:t>vegetation</w:t>
      </w:r>
      <w:r w:rsidR="0FA7E350" w:rsidRPr="00E435C0">
        <w:t xml:space="preserve"> </w:t>
      </w:r>
      <w:r w:rsidR="00531FBD" w:rsidRPr="00E435C0">
        <w:t xml:space="preserve">characteristics </w:t>
      </w:r>
      <w:r w:rsidRPr="00E435C0">
        <w:t xml:space="preserve">and </w:t>
      </w:r>
      <w:r w:rsidR="0FA7E350" w:rsidRPr="00E435C0">
        <w:t xml:space="preserve">flow </w:t>
      </w:r>
      <w:r w:rsidRPr="00E435C0">
        <w:t>velocity</w:t>
      </w:r>
      <w:r w:rsidR="008E0ADD" w:rsidRPr="00E435C0">
        <w:t>,</w:t>
      </w:r>
      <w:r w:rsidR="00531FBD" w:rsidRPr="00E435C0">
        <w:t xml:space="preserve"> with </w:t>
      </w:r>
      <w:r w:rsidR="008E0ADD" w:rsidRPr="00E435C0">
        <w:t xml:space="preserve">GEDI derived </w:t>
      </w:r>
      <w:r w:rsidR="008E0ADD" w:rsidRPr="00E435C0">
        <w:rPr>
          <w:i/>
          <w:iCs/>
        </w:rPr>
        <w:t>n</w:t>
      </w:r>
      <w:r w:rsidR="008E0ADD" w:rsidRPr="00E435C0">
        <w:t xml:space="preserve"> values </w:t>
      </w:r>
      <w:r w:rsidR="00531FBD" w:rsidRPr="00E435C0">
        <w:t>improving</w:t>
      </w:r>
      <w:r w:rsidR="008E0ADD" w:rsidRPr="00E435C0">
        <w:t xml:space="preserve"> predictions of discharge </w:t>
      </w:r>
      <w:r w:rsidR="00531FBD" w:rsidRPr="00E435C0">
        <w:t xml:space="preserve">relative to </w:t>
      </w:r>
      <w:r w:rsidR="008E0ADD" w:rsidRPr="00E435C0">
        <w:t>those based only on land cover</w:t>
      </w:r>
      <w:r w:rsidRPr="00E435C0">
        <w:t xml:space="preserve">. This analysis provides evidence of key hydraulic patterns of energy dissipation in floodplains, </w:t>
      </w:r>
      <w:r w:rsidR="4003E040" w:rsidRPr="00E435C0">
        <w:t xml:space="preserve">and </w:t>
      </w:r>
      <w:r w:rsidRPr="00E435C0">
        <w:t>integration of the proposed function into flood and habitat models may reduce uncertainty.</w:t>
      </w:r>
      <w:r w:rsidR="00483379" w:rsidRPr="00E435C0">
        <w:t xml:space="preserve"> </w:t>
      </w:r>
    </w:p>
    <w:p w14:paraId="75313C06" w14:textId="77777777" w:rsidR="00281405" w:rsidRPr="00E435C0" w:rsidRDefault="00281405" w:rsidP="00AC418D">
      <w:pPr>
        <w:pStyle w:val="Abstract"/>
        <w:spacing w:line="480" w:lineRule="auto"/>
        <w:rPr>
          <w:color w:val="FF0000"/>
        </w:rPr>
      </w:pPr>
    </w:p>
    <w:p w14:paraId="69A5DBFD" w14:textId="6E111844" w:rsidR="00FC3EAC" w:rsidRPr="00E435C0" w:rsidRDefault="00FC3EAC" w:rsidP="00AC418D">
      <w:pPr>
        <w:pStyle w:val="Abstract"/>
        <w:spacing w:line="480" w:lineRule="auto"/>
        <w:rPr>
          <w:b/>
        </w:rPr>
      </w:pPr>
      <w:r w:rsidRPr="00E435C0">
        <w:rPr>
          <w:b/>
        </w:rPr>
        <w:t>Plain Language Summary</w:t>
      </w:r>
    </w:p>
    <w:p w14:paraId="7FACE0BE" w14:textId="21AF3DA0" w:rsidR="00FD19C6" w:rsidRPr="00E435C0" w:rsidRDefault="00C87B2A" w:rsidP="00AC418D">
      <w:pPr>
        <w:pStyle w:val="Abstract"/>
        <w:spacing w:line="480" w:lineRule="auto"/>
        <w:rPr>
          <w:kern w:val="28"/>
        </w:rPr>
      </w:pPr>
      <w:r w:rsidRPr="00E435C0">
        <w:t xml:space="preserve">Quantifying the capacity of floodplains to dissipate energy from flowing water is important in managing rivers, restoring habitats, and reducing flood risks. By integrating overbank flood characteristics measured at USGS gauging stations with vegetation properties of floodplains measured by NASA, this study analyzed how energy dissipation in the floodplain, via a hydraulic roughness coefficient, varies with vegetation </w:t>
      </w:r>
      <w:r w:rsidR="002B1E39" w:rsidRPr="00E435C0">
        <w:t>biomass</w:t>
      </w:r>
      <w:r w:rsidRPr="00E435C0">
        <w:t xml:space="preserve"> and flood depths. Results indicate that floodplain roughness increases with the density of vegetation and decreases with flow velocity. A new mathematical </w:t>
      </w:r>
      <w:r w:rsidR="00002C9A" w:rsidRPr="00E435C0">
        <w:t>function</w:t>
      </w:r>
      <w:r w:rsidRPr="00E435C0">
        <w:t xml:space="preserve"> is presented to estimate floodplain roughness based on remotely sensed vegetation properties for various velocities.</w:t>
      </w:r>
      <w:r w:rsidR="00FD19C6" w:rsidRPr="00E435C0">
        <w:br w:type="page"/>
      </w:r>
    </w:p>
    <w:p w14:paraId="16752E20" w14:textId="3CED88FB" w:rsidR="002F3B11" w:rsidRPr="00E435C0" w:rsidRDefault="002F3B11" w:rsidP="00AC418D">
      <w:pPr>
        <w:pStyle w:val="Heading-Main"/>
        <w:spacing w:line="480" w:lineRule="auto"/>
      </w:pPr>
      <w:r w:rsidRPr="00E435C0">
        <w:lastRenderedPageBreak/>
        <w:t>1 Introduction</w:t>
      </w:r>
    </w:p>
    <w:p w14:paraId="004675A2" w14:textId="68A349B4" w:rsidR="006A6BDE" w:rsidRPr="00E435C0" w:rsidRDefault="006A6BDE" w:rsidP="00AC418D">
      <w:pPr>
        <w:pStyle w:val="Text"/>
        <w:spacing w:line="480" w:lineRule="auto"/>
      </w:pPr>
      <w:r w:rsidRPr="00E435C0">
        <w:t xml:space="preserve">Floods are one of the most damaging natural disasters affecting society, costing billions of dollars in damages every year </w:t>
      </w:r>
      <w:r w:rsidRPr="00E435C0">
        <w:fldChar w:fldCharType="begin"/>
      </w:r>
      <w:r w:rsidR="007358AF" w:rsidRPr="00E435C0">
        <w:instrText xml:space="preserve"> ADDIN ZOTERO_ITEM CSL_CITATION {"citationID":"NVtNglxz","properties":{"formattedCitation":"(Smith, 2020)","plainCitation":"(Smith, 2020)","noteIndex":0},"citationItems":[{"id":"e8xyYrIr/3Ttq7kTK","uris":["http://zotero.org/users/9768842/items/3J9EJPUF"],"itemData":{"id":118,"type":"document","abstract":"This NCEI accession contains U.S. disaster cost assessments of the total, direct losses ($) inflicted by: tropical cyclones, inland floods, drought &amp;amp; heat waves, severe local storms (i.e., tornado, hail, straight-line wind damage), wildfires, crop freeze events and winter storms. These assessments require input from a variety of public and private data sources including: the Insurance Services Office (ISO) Property Claim Services (PCS), Federal Emergency Management Agency (FEMA) National Flood Insurance Program (NFIP) and Presidential Disaster Declaration (PDD) assistance, and the United States Department of Agriculture (USDA) National Agricultural Statistics Service (NASS) &amp;amp; Risk Management Agency (RMA), the National Interagency Fire Center (NIFC) and state agency reporting, among others. Each of these data sources provides unique information as part of the overall disaster loss assessment. This accession is updated quarterly.","note":"type: dataset\nDOI: 10.25921/STKW-7W73","publisher":"NOAA National Centers for Environmental Information","source":"DOI.org (Datacite)","title":"U.S. Billion-dollar Weather and Climate Disasters, 1980 - present (NCEI Accession 0209268)","URL":"https://www.ncei.noaa.gov/archive/accession/0209268","author":[{"family":"Smith","given":"Adam B."}],"accessed":{"date-parts":[["2022",8,20]]},"issued":{"date-parts":[["2020"]]}}}],"schema":"https://github.com/citation-style-language/schema/raw/master/csl-citation.json"} </w:instrText>
      </w:r>
      <w:r w:rsidRPr="00E435C0">
        <w:fldChar w:fldCharType="separate"/>
      </w:r>
      <w:r w:rsidRPr="00E435C0">
        <w:t>(Smith, 2020)</w:t>
      </w:r>
      <w:r w:rsidRPr="00E435C0">
        <w:fldChar w:fldCharType="end"/>
      </w:r>
      <w:r w:rsidRPr="00E435C0">
        <w:t xml:space="preserve">. Understanding these events is important for the protection of urban and agricultural development, risk management, and ecosystem restoration actions </w:t>
      </w:r>
      <w:r w:rsidRPr="00E435C0">
        <w:fldChar w:fldCharType="begin"/>
      </w:r>
      <w:r w:rsidRPr="00E435C0">
        <w:instrText xml:space="preserve"> ADDIN ZOTERO_ITEM CSL_CITATION {"citationID":"tXSutpXn","properties":{"formattedCitation":"(Bulti &amp; Abebe, 2020)","plainCitation":"(Bulti &amp; Abebe, 2020)","noteIndex":0},"citationItems":[{"id":438,"uris":["http://zotero.org/users/9768842/items/NK32X9R3"],"itemData":{"id":438,"type":"article-journal","abstract":"Pluvial flood has been increasingly understood as a major threat that has presented a significant risk for many cities worldwide. Regarding flood risk management, flood modeling enables to understand, assess and forecast flood conditions and their impact. Likewise, several hydrodynamic models have been developed and their application has been spread. With respect to effective flood modeling, particularly in urbanized floodplains, the choice of an appropriate method, considering contextual requirements, is challenging. This paper gives an overview of prevailing flood modeling approaches in view of their potentials and limitations for modeling pluvial flood in urban settings. The existing methods are categorized into: rapid flood spreading, one-dimensional sewer, overland flow (1D and 2D), sewer-surface coupling approaches (1D–1D and 1D–2D). Each of these techniques is described, by taking aspects influencing the selection of a proper flood modeling method for a particular application into account. This paper would help urban flood managers, and potential users undertake effective flood modeling tasks, balancing between their needs, model complexity and requirements of both input data and time.","container-title":"Modeling Earth Systems and Environment","DOI":"10.1007/s40808-020-00803-z","ISSN":"2363-6211","issue":"3","journalAbbreviation":"Model. Earth Syst. Environ.","language":"en","page":"1293-1302","source":"Springer Link","title":"A review of flood modeling methods for urban pluvial flood application","volume":"6","author":[{"family":"Bulti","given":"Dejene Tesema"},{"family":"Abebe","given":"Birhanu Girma"}],"issued":{"date-parts":[["2020",9,1]]}}}],"schema":"https://github.com/citation-style-language/schema/raw/master/csl-citation.json"} </w:instrText>
      </w:r>
      <w:r w:rsidRPr="00E435C0">
        <w:fldChar w:fldCharType="separate"/>
      </w:r>
      <w:r w:rsidRPr="00E435C0">
        <w:t>(Bulti &amp; Abebe, 2020)</w:t>
      </w:r>
      <w:r w:rsidRPr="00E435C0">
        <w:fldChar w:fldCharType="end"/>
      </w:r>
      <w:r w:rsidRPr="00E435C0">
        <w:t xml:space="preserve">. Accordingly, a wide variety of hydraulic models have been developed for prediction and forecasting of river response to flood events and restoration actions, with the vast majority of these model predictions dependent on how a floodplain roughness attenuates flow </w:t>
      </w:r>
      <w:r w:rsidRPr="00E435C0">
        <w:fldChar w:fldCharType="begin"/>
      </w:r>
      <w:r w:rsidRPr="00E435C0">
        <w:instrText xml:space="preserve"> ADDIN ZOTERO_ITEM CSL_CITATION {"citationID":"MhhxroyW","properties":{"formattedCitation":"(Hunter et al., 2007)","plainCitation":"(Hunter et al., 2007)","noteIndex":0},"citationItems":[{"id":437,"uris":["http://zotero.org/users/9768842/items/Y6YRBE8A"],"itemData":{"id":437,"type":"article-journal","abstract":"In this paper we review recent progress in the use of reduced complexity models for predicting floodplain inundation. We review the theoretical basis for modelling floodplain flow with simplified hydraulic treatments based on a dimensional analysis of the one-dimensional shallow water equations. We then review how such schemes can be applied in practice and consider issues of space discretization, time discretization and model parameterisation, before going on to consider model assessment procedures. We show that a key advantage of reduced complexity codes is that they force modellers to think about the minimum process representation necessary to predict particular quantities and act as a check on any tendency to reductionism. At the same time, however, the use (compared to standard hydraulic codes) of strong simplifying assumptions requires us to also address the question “how simple can a model be and still be physically realistic?” We show that by making explicit this debate about acceptable levels of abstraction, reduced complexity codes allow progress to be made in addressing a number of long-standing debates in hydraulics.","collection-title":"Reduced-Complexity Geomorphological Modelling for River and Catchment Management","container-title":"Geomorphology","DOI":"10.1016/j.geomorph.2006.10.021","ISSN":"0169-555X","issue":"3","journalAbbreviation":"Geomorphology","language":"en","page":"208-225","source":"ScienceDirect","title":"Simple spatially-distributed models for predicting flood inundation: A review","title-short":"Simple spatially-distributed models for predicting flood inundation","volume":"90","author":[{"family":"Hunter","given":"Neil M."},{"family":"Bates","given":"Paul D."},{"family":"Horritt","given":"Matthew S."},{"family":"Wilson","given":"Matthew D."}],"issued":{"date-parts":[["2007",10,15]]}}}],"schema":"https://github.com/citation-style-language/schema/raw/master/csl-citation.json"} </w:instrText>
      </w:r>
      <w:r w:rsidRPr="00E435C0">
        <w:fldChar w:fldCharType="separate"/>
      </w:r>
      <w:r w:rsidRPr="00E435C0">
        <w:t>(Hunter et al., 2007)</w:t>
      </w:r>
      <w:r w:rsidRPr="00E435C0">
        <w:fldChar w:fldCharType="end"/>
      </w:r>
      <w:r w:rsidRPr="00E435C0">
        <w:t xml:space="preserve">. Manning’s equation </w:t>
      </w:r>
      <w:r w:rsidR="005449C6" w:rsidRPr="00E435C0">
        <w:fldChar w:fldCharType="begin"/>
      </w:r>
      <w:r w:rsidR="005449C6" w:rsidRPr="00E435C0">
        <w:instrText xml:space="preserve"> ADDIN ZOTERO_ITEM CSL_CITATION {"citationID":"Wed0HWdz","properties":{"formattedCitation":"(Manning, 1891)","plainCitation":"(Manning, 1891)","noteIndex":0},"citationItems":[{"id":471,"uris":["http://zotero.org/users/9768842/items/YRS7WRKG"],"itemData":{"id":471,"type":"document","title":"On the flow of water in open channels and pipes","author":[{"family":"Manning","given":"Robert E"}],"issued":{"date-parts":[["1891"]]}}}],"schema":"https://github.com/citation-style-language/schema/raw/master/csl-citation.json"} </w:instrText>
      </w:r>
      <w:r w:rsidR="005449C6" w:rsidRPr="00E435C0">
        <w:fldChar w:fldCharType="separate"/>
      </w:r>
      <w:r w:rsidR="005449C6" w:rsidRPr="00E435C0">
        <w:t>(Manning, 1891)</w:t>
      </w:r>
      <w:r w:rsidR="005449C6" w:rsidRPr="00E435C0">
        <w:fldChar w:fldCharType="end"/>
      </w:r>
      <w:r w:rsidR="003D25B9" w:rsidRPr="00E435C0">
        <w:t xml:space="preserve"> </w:t>
      </w:r>
      <w:r w:rsidRPr="00E435C0">
        <w:t xml:space="preserve">is the most widely used hydraulic formula relating roughness to discharge and velocities in river channels and floodplains </w:t>
      </w:r>
      <w:r w:rsidRPr="00E435C0">
        <w:fldChar w:fldCharType="begin"/>
      </w:r>
      <w:r w:rsidRPr="00E435C0">
        <w:instrText xml:space="preserve"> ADDIN ZOTERO_ITEM CSL_CITATION {"citationID":"tZ1ayLPR","properties":{"formattedCitation":"(Yen, 1992)","plainCitation":"(Yen, 1992)","noteIndex":0},"citationItems":[{"id":436,"uris":["http://zotero.org/users/9768842/items/EY5RJB3Z"],"itemData":{"id":436,"type":"book","ISBN":"978-0-918334-72-5","language":"en","note":"Google-Books-ID: CHq5XTCkyakC","number-of-pages":"466","publisher":"Water Resources Publication","source":"Google Books","title":"Channel Flow Resistance: Centennial of Manning's Formula","title-short":"Channel Flow Resistance","author":[{"family":"Yen","given":"Ben Chie"}],"issued":{"date-parts":[["1992"]]}}}],"schema":"https://github.com/citation-style-language/schema/raw/master/csl-citation.json"} </w:instrText>
      </w:r>
      <w:r w:rsidRPr="00E435C0">
        <w:fldChar w:fldCharType="separate"/>
      </w:r>
      <w:r w:rsidRPr="00E435C0">
        <w:t>(Yen, 1992)</w:t>
      </w:r>
      <w:r w:rsidRPr="00E435C0">
        <w:fldChar w:fldCharType="end"/>
      </w:r>
      <w:r w:rsidRPr="00E435C0">
        <w:t xml:space="preserve">. Its application requires knowledge of the </w:t>
      </w:r>
      <w:r w:rsidR="00D516EF" w:rsidRPr="00E435C0">
        <w:t xml:space="preserve">geometric characteristics of the channel (area, hydraulic radius, and slope) as well as a key </w:t>
      </w:r>
      <w:r w:rsidRPr="00E435C0">
        <w:t xml:space="preserve">roughness coefficient, </w:t>
      </w:r>
      <w:r w:rsidRPr="00E435C0">
        <w:rPr>
          <w:i/>
          <w:iCs/>
        </w:rPr>
        <w:t>n</w:t>
      </w:r>
      <w:r w:rsidRPr="00E435C0">
        <w:t xml:space="preserve">. This empirical coefficient is used to account for energy dissipated due to friction losses, but it is rarely measured directly in the field </w:t>
      </w:r>
      <w:r w:rsidRPr="00E435C0">
        <w:fldChar w:fldCharType="begin"/>
      </w:r>
      <w:r w:rsidR="007358AF" w:rsidRPr="00E435C0">
        <w:instrText xml:space="preserve"> ADDIN ZOTERO_ITEM CSL_CITATION {"citationID":"BXN5YLZv","properties":{"formattedCitation":"(R. Ferguson, 2013)","plainCitation":"(R. Ferguson, 2013)","noteIndex":0},"citationItems":[{"id":"e8xyYrIr/JLQIblhF","uris":["http://zotero.org/users/9768842/items/3SEZNL5R"],"itemData":{"id":"elSZPOyf/MDI1nLg0","type":"chapter","container-title":"Treatise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Pr="00E435C0">
        <w:fldChar w:fldCharType="separate"/>
      </w:r>
      <w:r w:rsidR="00D4722B" w:rsidRPr="00E435C0">
        <w:t>(R. Ferguson, 2013)</w:t>
      </w:r>
      <w:r w:rsidRPr="00E435C0">
        <w:fldChar w:fldCharType="end"/>
      </w:r>
      <w:r w:rsidRPr="00E435C0">
        <w:t xml:space="preserve"> due to logistics and safety concerns</w:t>
      </w:r>
      <w:r w:rsidR="00A45BA2" w:rsidRPr="00E435C0">
        <w:t>,</w:t>
      </w:r>
      <w:r w:rsidRPr="00E435C0">
        <w:t xml:space="preserve"> and it is difficult to predict for a future land use policy or engineering design. As a result, Manning’s </w:t>
      </w:r>
      <w:r w:rsidRPr="00E435C0">
        <w:rPr>
          <w:i/>
          <w:iCs/>
        </w:rPr>
        <w:t>n</w:t>
      </w:r>
      <w:r w:rsidRPr="00E435C0">
        <w:t xml:space="preserve"> is typically specified from simplified lookup tables </w:t>
      </w:r>
      <w:r w:rsidRPr="00E435C0">
        <w:fldChar w:fldCharType="begin"/>
      </w:r>
      <w:r w:rsidR="007358AF" w:rsidRPr="00E435C0">
        <w:instrText xml:space="preserve"> ADDIN ZOTERO_ITEM CSL_CITATION {"citationID":"JCuArIIP","properties":{"formattedCitation":"(Chow, 1959; Cowan, 1956)","plainCitation":"(Chow, 1959; Cowan, 1956)","noteIndex":0},"citationItems":[{"id":214,"uris":["http://zotero.org/users/9768842/items/Y9UZYWTE"],"itemData":{"id":214,"type":"webpage","title":"Chow, V. T. (1959). Open-channel hydraulics. McGraw-Hill, New York - Google Search","author":[{"family":"Chow","given":"Ven Te"}],"accessed":{"date-parts":[["2022",8,28]]},"issued":{"date-parts":[["1959"]]}}},{"id":"e8xyYrIr/HXNeo9z3","uris":["http://zotero.org/users/9768842/items/HH25Y2U8"],"itemData":{"id":"6NuXiERu/zNUE7pMF","type":"article-journal","container-title":"Agricultural Engineering","issue":"7","page":"473–475","source":"Google Scholar","title":"Estimating hydraulic roughness coefficients","volume":"37","author":[{"family":"Cowan","given":"Woody L."}],"issued":{"date-parts":[["1956"]]}}}],"schema":"https://github.com/citation-style-language/schema/raw/master/csl-citation.json"} </w:instrText>
      </w:r>
      <w:r w:rsidRPr="00E435C0">
        <w:fldChar w:fldCharType="separate"/>
      </w:r>
      <w:r w:rsidR="00754905" w:rsidRPr="00E435C0">
        <w:t>(Chow, 1959; Cowan, 1956)</w:t>
      </w:r>
      <w:r w:rsidRPr="00E435C0">
        <w:fldChar w:fldCharType="end"/>
      </w:r>
      <w:r w:rsidRPr="00E435C0">
        <w:t xml:space="preserve">, and studies have demonstrated that uncertainties in </w:t>
      </w:r>
      <w:r w:rsidRPr="00E435C0">
        <w:rPr>
          <w:i/>
          <w:iCs/>
        </w:rPr>
        <w:t>n</w:t>
      </w:r>
      <w:r w:rsidRPr="00E435C0">
        <w:t xml:space="preserve"> can lead to large errors in depth and discharge estimates </w:t>
      </w:r>
      <w:r w:rsidRPr="00E435C0">
        <w:fldChar w:fldCharType="begin"/>
      </w:r>
      <w:r w:rsidR="007358AF" w:rsidRPr="00E435C0">
        <w:instrText xml:space="preserve"> ADDIN ZOTERO_ITEM CSL_CITATION {"citationID":"lXVyKuN4","properties":{"formattedCitation":"(Durand et al., 2016; Lee &amp; Mays, 1986)","plainCitation":"(Durand et al., 2016; Lee &amp; Mays, 1986)","noteIndex":0},"citationItems":[{"id":"e8xyYrIr/ixFUzzhA","uris":["http://zotero.org/users/9768842/items/PK3IU6A4"],"itemData":{"id":60,"type":"article-journal","abstract":"The Surface Water and Ocean Topography (SWOT) satellite mission planned for launch in 2020 will map river elevations and inundated area globally for rivers &gt;100 m wide. In advance of this launch, we here evaluated the possibility of estimating discharge in ungauged rivers using synthetic, daily ‘‘remote sensing’’ measurements derived from hydraulic models corrupted with minimal observational errors. Five discharge algorithms were evaluated, as well as the median of the ﬁve, for 19 rivers spanning a range of hydraulic and geomorphic conditions. Reliance upon a priori information, and thus applicability to truly ungauged reaches, varied among algorithms: one algorithm employed only global limits on velocity and depth, while the other algorithms relied on globally available prior estimates of discharge. We found at least one algorithm able to estimate instantaneous discharge to within 35% relative root-mean-squared error (RRMSE) on 14/16 nonbraided rivers despite out-of-bank ﬂows, multichannel planforms, and backwater effects. Moreover, we found RRMSE was often dominated by bias; the median standard deviation of relative residuals across the 16 nonbraided rivers was only 12.5%. SWOT discharge algorithm progress is therefore encouraging, yet future efforts should consider incorporating ancillary data or multialgorithm synergy to improve results.","container-title":"Water Resources Research","DOI":"10.1002/2015WR018434","ISSN":"00431397","issue":"6","journalAbbreviation":"Water Resour. Res.","language":"en","page":"4527-4549","source":"DOI.org (Crossref)","title":"An intercomparison of remote sensing river discharge estimation algorithms from measurements of river height, width, and slope: SWOT DISCHARGE ALGORITHM INTERCOMPARISON","title-short":"An intercomparison of remote sensing river discharge estimation algorithms from measurements of river height, width, and slope","volume":"52","author":[{"family":"Durand","given":"M."},{"family":"Gleason","given":"C. J."},{"family":"Garambois","given":"P. A."},{"family":"Bjerklie","given":"D."},{"family":"Smith","given":"L. C."},{"family":"Roux","given":"H."},{"family":"Rodriguez","given":"E."},{"family":"Bates","given":"P. D."},{"family":"Pavelsky","given":"T. M."},{"family":"Monnier","given":"J."},{"family":"Chen","given":"X."},{"family":"Di Baldassarre","given":"G."},{"family":"Fiset","given":"J.-M."},{"family":"Flipo","given":"N."},{"family":"Frasson","given":"R. P. d. M."},{"family":"Fulton","given":"J."},{"family":"Goutal","given":"N."},{"family":"Hossain","given":"F."},{"family":"Humphries","given":"E."},{"family":"Minear","given":"J. T."},{"family":"Mukolwe","given":"M. M."},{"family":"Neal","given":"J. C."},{"family":"Ricci","given":"S."},{"family":"Sanders","given":"B. F."},{"family":"Schumann","given":"G."},{"family":"Schubert","given":"J. E."},{"family":"Vilmin","given":"L."}],"issued":{"date-parts":[["2016",6]]}}},{"id":434,"uris":["http://zotero.org/users/9768842/items/QTR27F9A"],"itemData":{"id":434,"type":"article-journal","abstract":"This paper explores hydraulic uncertainty in flood levee capacity, which results from the inability of mathematical models and/or empirical equations to describe completely the physical flow process of floods. The hydraulic uncertainty is evaluated through a first‐order analysis of uncertainties of Manning's equation. This study shows that the roughness coefficient and the friction slope dominate the variation in hydraulic uncertainty in that they account for 95% of the hydraulic uncertainty. A procedure is developed for determining the hydraulic effect of friction slope uncertainty.","container-title":"Journal of Hydraulic Engineering","DOI":"10.1061/(ASCE)0733-9429(1986)112:10(928)","ISSN":"0733-9429","issue":"10","language":"EN","license":"Copyright © 1986 ASCE","note":"publisher: American Society of Civil Engineers","page":"928-934","source":"ASCE","title":"Hydraulic Uncertainties in Flood Levee Capacity","volume":"112","author":[{"family":"Lee","given":"Han-Lin"},{"family":"Mays","given":"Larry W."}],"issued":{"date-parts":[["1986",10,1]]}}}],"schema":"https://github.com/citation-style-language/schema/raw/master/csl-citation.json"} </w:instrText>
      </w:r>
      <w:r w:rsidRPr="00E435C0">
        <w:fldChar w:fldCharType="separate"/>
      </w:r>
      <w:r w:rsidRPr="00E435C0">
        <w:t>(Durand et al., 2016; Lee &amp; Mays, 1986)</w:t>
      </w:r>
      <w:r w:rsidRPr="00E435C0">
        <w:fldChar w:fldCharType="end"/>
      </w:r>
      <w:r w:rsidRPr="00E435C0">
        <w:t xml:space="preserve">. </w:t>
      </w:r>
      <w:r w:rsidRPr="00E435C0">
        <w:fldChar w:fldCharType="begin"/>
      </w:r>
      <w:r w:rsidR="007358AF" w:rsidRPr="00E435C0">
        <w:instrText xml:space="preserve"> ADDIN ZOTERO_ITEM CSL_CITATION {"citationID":"UyRfka2L","properties":{"formattedCitation":"(Lee &amp; Mays, 1986)","plainCitation":"(Lee &amp; Mays, 1986)","dontUpdate":true,"noteIndex":0},"citationItems":[{"id":434,"uris":["http://zotero.org/users/9768842/items/QTR27F9A"],"itemData":{"id":434,"type":"article-journal","abstract":"This paper explores hydraulic uncertainty in flood levee capacity, which results from the inability of mathematical models and/or empirical equations to describe completely the physical flow process of floods. The hydraulic uncertainty is evaluated through a first‐order analysis of uncertainties of Manning's equation. This study shows that the roughness coefficient and the friction slope dominate the variation in hydraulic uncertainty in that they account for 95% of the hydraulic uncertainty. A procedure is developed for determining the hydraulic effect of friction slope uncertainty.","container-title":"Journal of Hydraulic Engineering","DOI":"10.1061/(ASCE)0733-9429(1986)112:10(928)","ISSN":"0733-9429","issue":"10","language":"EN","license":"Copyright © 1986 ASCE","note":"publisher: American Society of Civil Engineers","page":"928-934","source":"ASCE","title":"Hydraulic Uncertainties in Flood Levee Capacity","volume":"112","author":[{"family":"Lee","given":"Han-Lin"},{"family":"Mays","given":"Larry W."}],"issued":{"date-parts":[["1986",10,1]]}}},{"id":214,"uris":["http://zotero.org/users/9768842/items/Y9UZYWTE"],"itemData":{"id":214,"type":"webpage","title":"Chow, V. T. (1959). Open-channel hydraulics. McGraw-Hill, New York - Google Search","author":[{"family":"Chow","given":"Ven Te"}],"accessed":{"date-parts":[["2022",8,28]]},"issued":{"date-parts":[["1959"]]}}},{"id":"e8xyYrIr/HXNeo9z3","uris":["http://zotero.org/users/9768842/items/HH25Y2U8"],"itemData":{"id":119,"type":"article-journal","container-title":"Agricultural Engineering","issue":"7","page":"473–475","source":"Google Scholar","title":"Estimating hydraulic roughness coefficients","volume":"37","author":[{"family":"Cowan","given":"Woody L."}],"issued":{"date-parts":[["1956"]]}}},{"id":"e8xyYrIr/JLQIblhF","uris":["http://zotero.org/users/9768842/items/3SEZNL5R"],"itemData":{"id":182,"type":"chapter","container-title":"Treatise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Pr="00E435C0">
        <w:fldChar w:fldCharType="end"/>
      </w:r>
    </w:p>
    <w:p w14:paraId="65277C91" w14:textId="20154A73" w:rsidR="00142B22" w:rsidRPr="00E435C0" w:rsidRDefault="00142B22" w:rsidP="007D7FE8">
      <w:pPr>
        <w:pStyle w:val="Text"/>
        <w:spacing w:line="480" w:lineRule="auto"/>
      </w:pPr>
      <w:r w:rsidRPr="00E435C0">
        <w:t xml:space="preserve">Manning's equation in irrigation canals </w:t>
      </w:r>
      <w:r w:rsidR="007D7FE8" w:rsidRPr="00E435C0">
        <w:fldChar w:fldCharType="begin"/>
      </w:r>
      <w:r w:rsidR="007D7FE8" w:rsidRPr="00E435C0">
        <w:instrText xml:space="preserve"> ADDIN ZOTERO_ITEM CSL_CITATION {"citationID":"gBAP3N4L","properties":{"formattedCitation":"(Manning, 1891)","plainCitation":"(Manning, 1891)","noteIndex":0},"citationItems":[{"id":471,"uris":["http://zotero.org/users/9768842/items/YRS7WRKG"],"itemData":{"id":471,"type":"document","title":"On the flow of water in open channels and pipes","author":[{"family":"Manning","given":"Robert E"}],"issued":{"date-parts":[["1891"]]}}}],"schema":"https://github.com/citation-style-language/schema/raw/master/csl-citation.json"} </w:instrText>
      </w:r>
      <w:r w:rsidR="007D7FE8" w:rsidRPr="00E435C0">
        <w:fldChar w:fldCharType="separate"/>
      </w:r>
      <w:r w:rsidR="007D7FE8" w:rsidRPr="00E435C0">
        <w:t>(Manning, 1891)</w:t>
      </w:r>
      <w:r w:rsidR="007D7FE8" w:rsidRPr="00E435C0">
        <w:fldChar w:fldCharType="end"/>
      </w:r>
      <w:r w:rsidRPr="00E435C0">
        <w:t xml:space="preserve"> has traditionally attributed energy losses in open channels primarily to vegetation. Lookup tables, such as those by </w:t>
      </w:r>
      <w:r w:rsidR="007D7FE8" w:rsidRPr="00E435C0">
        <w:fldChar w:fldCharType="begin"/>
      </w:r>
      <w:r w:rsidR="007D7FE8" w:rsidRPr="00E435C0">
        <w:instrText xml:space="preserve"> ADDIN ZOTERO_ITEM CSL_CITATION {"citationID":"X2n4y5Je","properties":{"formattedCitation":"(Chow, 1959)","plainCitation":"(Chow, 1959)","noteIndex":0},"citationItems":[{"id":214,"uris":["http://zotero.org/users/9768842/items/Y9UZYWTE"],"itemData":{"id":214,"type":"webpage","title":"Chow, V. T. (1959). Open-channel hydraulics. McGraw-Hill, New York - Google Search","author":[{"family":"Chow","given":"Ven Te"}],"accessed":{"date-parts":[["2022",8,28]]},"issued":{"date-parts":[["1959"]]}}}],"schema":"https://github.com/citation-style-language/schema/raw/master/csl-citation.json"} </w:instrText>
      </w:r>
      <w:r w:rsidR="007D7FE8" w:rsidRPr="00E435C0">
        <w:fldChar w:fldCharType="separate"/>
      </w:r>
      <w:r w:rsidR="006635F9" w:rsidRPr="00E435C0">
        <w:t>(Chow, 1959)</w:t>
      </w:r>
      <w:r w:rsidR="007D7FE8" w:rsidRPr="00E435C0">
        <w:fldChar w:fldCharType="end"/>
      </w:r>
      <w:r w:rsidR="006C04EE" w:rsidRPr="00E435C0">
        <w:t xml:space="preserve">, </w:t>
      </w:r>
      <w:r w:rsidRPr="00E435C0">
        <w:t xml:space="preserve">include specific </w:t>
      </w:r>
      <w:r w:rsidRPr="00E435C0">
        <w:rPr>
          <w:i/>
          <w:iCs/>
        </w:rPr>
        <w:t>n</w:t>
      </w:r>
      <w:r w:rsidRPr="00E435C0">
        <w:t xml:space="preserve"> values for different land cover types, indicating the influence of vegetation on Manning's </w:t>
      </w:r>
      <w:r w:rsidRPr="00E435C0">
        <w:rPr>
          <w:i/>
          <w:iCs/>
        </w:rPr>
        <w:t>n</w:t>
      </w:r>
      <w:r w:rsidRPr="00E435C0">
        <w:t xml:space="preserve">. While most studies focus on flow resistance of vegetation in the main channel, limited attention has been given to variations in floodplain vegetation resistance during inundation events </w:t>
      </w:r>
      <w:r w:rsidR="004C5E15" w:rsidRPr="00E435C0">
        <w:fldChar w:fldCharType="begin"/>
      </w:r>
      <w:r w:rsidR="007358AF" w:rsidRPr="00E435C0">
        <w:instrText xml:space="preserve"> ADDIN ZOTERO_ITEM CSL_CITATION {"citationID":"8U1C5gnK","properties":{"formattedCitation":"(R. Ferguson, 2013; Yen, 2002)","plainCitation":"(R. Ferguson, 2013; Yen, 2002)","noteIndex":0},"citationItems":[{"id":"e8xyYrIr/JLQIblhF","uris":["http://zotero.org/users/9768842/items/3SEZNL5R"],"itemData":{"id":"K3SGewHx/XJyi8LBQ","type":"chapter","container-title":"Treatise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id":416,"uris":["http://zotero.org/users/9768842/items/4XC6F9IM"],"itemData":{"id":416,"type":"article-journal","abstract":"In 1965, Rouse critically reviewed hydraulic resistance in open channels on the basis of fluid mechanics. He pointed out the effects of cross-sectional shape, boundary nonuniformity, and flow unsteadiness, in addition to viscosity and wall roughness that are commonly considered. This paper extends that study by discussing the differences between momentum and energy resistances, between point, cross-sectional and reach resistance coefficients, as well as compound/composite channel resistance. Certain resistance phenomena can be explained with the inner and outer laws of boundary layer theory. The issue of linear-separation approach versus nonlinear approach to alluvial channel resistances also is discussed. This review indicates the need for extensive further research on the subject.","container-title":"Journal of Hydraulic Engineering","DOI":"10.1061/(ASCE)0733-9429(2002)128:1(20)","ISSN":"0733-9429","issue":"1","language":"EN","license":"Copyright © 2002 American Society of Civil Engineers","note":"publisher: American Society of Civil Engineers","page":"20-39","source":"ASCE","title":"Open Channel Flow Resistance","volume":"128","author":[{"family":"Yen","given":"Ben Chie"}],"issued":{"date-parts":[["2002",1,1]]}}}],"schema":"https://github.com/citation-style-language/schema/raw/master/csl-citation.json"} </w:instrText>
      </w:r>
      <w:r w:rsidR="004C5E15" w:rsidRPr="00E435C0">
        <w:fldChar w:fldCharType="separate"/>
      </w:r>
      <w:r w:rsidR="00D4722B" w:rsidRPr="00E435C0">
        <w:t>(R. Ferguson, 2013; Yen, 2002)</w:t>
      </w:r>
      <w:r w:rsidR="004C5E15" w:rsidRPr="00E435C0">
        <w:fldChar w:fldCharType="end"/>
      </w:r>
      <w:r w:rsidRPr="00E435C0">
        <w:t>.</w:t>
      </w:r>
      <w:r w:rsidR="007D7FE8" w:rsidRPr="00E435C0">
        <w:t xml:space="preserve"> </w:t>
      </w:r>
      <w:r w:rsidR="00D516EF" w:rsidRPr="00E435C0">
        <w:t xml:space="preserve">Prior models </w:t>
      </w:r>
      <w:r w:rsidR="004C5E15" w:rsidRPr="00E435C0">
        <w:fldChar w:fldCharType="begin"/>
      </w:r>
      <w:r w:rsidR="007358AF" w:rsidRPr="00E435C0">
        <w:instrText xml:space="preserve"> ADDIN ZOTERO_ITEM CSL_CITATION {"citationID":"mo7Qk6ls","properties":{"formattedCitation":"(Fathi-Maghadam &amp; Kouwen, 1997; Kouwen &amp; Fathi-Moghadam, 2000; Petryk, 1975)","plainCitation":"(Fathi-Maghadam &amp; Kouwen, 1997; Kouwen &amp; Fathi-Moghadam, 2000; Petryk, 1975)","noteIndex":0},"citationItems":[{"id":257,"uris":["http://zotero.org/users/9768842/items/6K54J26M"],"itemData":{"id":257,"type":"article-journal","abstract":"Individual pine and cedar tree saplings and branches were used to model the resistance to flow in a water flume for nonsubmerged and nonrigid vegetation to determine the amount that streamlining decreases the drag coefficient and reduces the momentum absorbing area. Currently, vegetation on floodplains is commonly assumed to behave as rigid roughness that can lead to large errors in the relationships between velocity and drag force. This presents a basic fluid mechanics problem. An extreme variation of roughness with depth of flow can result due to a large increase in the momentum absorbing area in nonsubmerged vegetation as depth is increased. This deems all the available roughness equations (which generally are based on relative roughness approach) useless for this application. In this paper a dimensional analysis, supported by experimental results, is developed to obtain a relationship between roughness conditions (i.e., density and flexural rigidity) and flow conditions (i.e., velocity and depth) for floodplains and vegetative zones of natural waterways.","container-title":"Journal of Hydraulic Engineering","DOI":"10.1061/(ASCE)0733-9429(1997)123:1(51)","ISSN":"0733-9429, 1943-7900","issue":"1","journalAbbreviation":"J. Hydraul. Eng.","language":"en","note":"number: 1","page":"51-57","source":"DOI.org (Crossref)","title":"Nonrigid, Nonsubmerged, Vegetative Roughness on Floodplains","volume":"123","author":[{"family":"Fathi-Maghadam","given":"M."},{"family":"Kouwen","given":"N."}],"issued":{"date-parts":[["1997",1]]}}},{"id":"e8xyYrIr/vbcc8Cn0","uris":["http://zotero.org/users/9768842/items/IV9LJHFW"],"itemData":{"id":"K3SGewHx/PsV1RuvX","type":"article-journal","abstract":"A physically based model for estimating the resistance coefﬁcient for coniferous trees in openchannel ﬂow is modiﬁed to account for variations in the ﬂexibility between species. The new model is based on the assumption of a linear increase in foliage area with height and a dimensional analysis. It is supported by experiments in air and water. The advantage of the new model over existing methods for estimating resistance factors is its ability to account for the interaction between the vegetation and the ﬂow, taking into account velocity, depth of ﬂow, and vegetative conditions (including type, size, stage of maturity, and density of vegetation). Based on the mathematical model, a table is provided to estimate Manning’s n value for ﬂow through vegetation.","container-title":"Journal of Hydraulic Engineering","DOI":"10.1061/(ASCE)0733-9429(2000)126:10(732)","ISSN":"0733-9429, 1943-7900","issue":"10","journalAbbreviation":"J. Hydraul. Eng.","language":"en","page":"732-740","source":"DOI.org (Crossref)","title":"Friction Factors for Coniferous Trees along Rivers","volume":"126","author":[{"family":"Kouwen","given":"N."},{"family":"Fathi-Moghadam","given":"M."}],"issued":{"date-parts":[["2000",10]]}}},{"id":470,"uris":["http://zotero.org/users/9768842/items/TNUJBFX4"],"itemData":{"id":470,"type":"article-journal","title":"Analysis of flow through vegetation","author":[{"family":"Petryk","given":""}],"issued":{"date-parts":[["1975"]]}}}],"schema":"https://github.com/citation-style-language/schema/raw/master/csl-citation.json"} </w:instrText>
      </w:r>
      <w:r w:rsidR="004C5E15" w:rsidRPr="00E435C0">
        <w:fldChar w:fldCharType="separate"/>
      </w:r>
      <w:r w:rsidR="009F5856" w:rsidRPr="00E435C0">
        <w:t xml:space="preserve">(Fathi-Maghadam &amp; Kouwen, </w:t>
      </w:r>
      <w:r w:rsidR="009F5856" w:rsidRPr="00E435C0">
        <w:lastRenderedPageBreak/>
        <w:t>1997; Kouwen &amp; Fathi-Moghadam, 2000; Petryk, 1975)</w:t>
      </w:r>
      <w:r w:rsidR="004C5E15" w:rsidRPr="00E435C0">
        <w:fldChar w:fldCharType="end"/>
      </w:r>
      <w:r w:rsidR="00D516EF" w:rsidRPr="00E435C0">
        <w:t xml:space="preserve"> of</w:t>
      </w:r>
      <w:r w:rsidRPr="00E435C0">
        <w:t xml:space="preserve"> flow resistance for emergent vegetation, </w:t>
      </w:r>
      <w:r w:rsidR="007A0D13" w:rsidRPr="00E435C0">
        <w:t>highlighted</w:t>
      </w:r>
      <w:r w:rsidRPr="00E435C0">
        <w:t xml:space="preserve"> vegetation density as the most important factor contributing to Manning's </w:t>
      </w:r>
      <w:r w:rsidRPr="00E435C0">
        <w:rPr>
          <w:i/>
          <w:iCs/>
        </w:rPr>
        <w:t>n</w:t>
      </w:r>
      <w:r w:rsidR="00CC2FC7" w:rsidRPr="00E435C0">
        <w:t>,</w:t>
      </w:r>
      <w:r w:rsidRPr="00E435C0">
        <w:t xml:space="preserve"> </w:t>
      </w:r>
      <w:r w:rsidR="00714D64" w:rsidRPr="00E435C0">
        <w:t xml:space="preserve">and suggest </w:t>
      </w:r>
      <w:r w:rsidRPr="00E435C0">
        <w:rPr>
          <w:i/>
          <w:iCs/>
        </w:rPr>
        <w:t>n</w:t>
      </w:r>
      <w:r w:rsidRPr="00E435C0">
        <w:t xml:space="preserve"> varies with the square root of the vegetation inundation fraction and inversely with flow velocity.</w:t>
      </w:r>
      <w:r w:rsidR="00DB49FF" w:rsidRPr="00E435C0">
        <w:t xml:space="preserve"> </w:t>
      </w:r>
      <w:r w:rsidR="00714D64" w:rsidRPr="00E435C0">
        <w:t xml:space="preserve">However, these models were developed spanning limited conditions, e.g. only four </w:t>
      </w:r>
      <w:r w:rsidR="00FF588A" w:rsidRPr="00E435C0">
        <w:t xml:space="preserve">individual </w:t>
      </w:r>
      <w:r w:rsidR="00714D64" w:rsidRPr="00E435C0">
        <w:t>tree</w:t>
      </w:r>
      <w:r w:rsidR="00FF588A" w:rsidRPr="00E435C0">
        <w:t xml:space="preserve">s of different </w:t>
      </w:r>
      <w:r w:rsidR="00714D64" w:rsidRPr="00E435C0">
        <w:t xml:space="preserve">types tested in </w:t>
      </w:r>
      <w:r w:rsidR="00714D64" w:rsidRPr="00E435C0">
        <w:rPr>
          <w:b/>
          <w:bCs/>
        </w:rPr>
        <w:fldChar w:fldCharType="begin"/>
      </w:r>
      <w:r w:rsidR="007358AF" w:rsidRPr="00E435C0">
        <w:instrText xml:space="preserve"> ADDIN ZOTERO_ITEM CSL_CITATION {"citationID":"4NjSvZZ2","properties":{"formattedCitation":"(Kouwen &amp; Fathi-Moghadam, 2000)","plainCitation":"(Kouwen &amp; Fathi-Moghadam, 2000)","noteIndex":0},"citationItems":[{"id":"e8xyYrIr/vbcc8Cn0","uris":["http://zotero.org/users/9768842/items/IV9LJHFW"],"itemData":{"id":"JYQX3ODA/t5skiosQ","type":"article-journal","abstract":"A physically based model for estimating the resistance coefﬁcient for coniferous trees in openchannel ﬂow is modiﬁed to account for variations in the ﬂexibility between species. The new model is based on the assumption of a linear increase in foliage area with height and a dimensional analysis. It is supported by experiments in air and water. The advantage of the new model over existing methods for estimating resistance factors is its ability to account for the interaction between the vegetation and the ﬂow, taking into account velocity, depth of ﬂow, and vegetative conditions (including type, size, stage of maturity, and density of vegetation). Based on the mathematical model, a table is provided to estimate Manning’s n value for ﬂow through vegetation.","container-title":"Journal of Hydraulic Engineering","DOI":"10.1061/(ASCE)0733-9429(2000)126:10(732)","ISSN":"0733-9429, 1943-7900","issue":"10","journalAbbreviation":"J. Hydraul. Eng.","language":"en","page":"732-740","source":"DOI.org (Crossref)","title":"Friction Factors for Coniferous Trees along Rivers","volume":"126","author":[{"family":"Kouwen","given":"N."},{"family":"Fathi-Moghadam","given":"M."}],"issued":{"date-parts":[["2000",10]]}}}],"schema":"https://github.com/citation-style-language/schema/raw/master/csl-citation.json"} </w:instrText>
      </w:r>
      <w:r w:rsidR="00714D64" w:rsidRPr="00E435C0">
        <w:rPr>
          <w:b/>
          <w:bCs/>
        </w:rPr>
        <w:fldChar w:fldCharType="separate"/>
      </w:r>
      <w:r w:rsidR="009F5856" w:rsidRPr="00E435C0">
        <w:t>(Kouwen &amp; Fathi-Moghadam, 2000)</w:t>
      </w:r>
      <w:r w:rsidR="00714D64" w:rsidRPr="00E435C0">
        <w:rPr>
          <w:b/>
          <w:bCs/>
        </w:rPr>
        <w:fldChar w:fldCharType="end"/>
      </w:r>
      <w:r w:rsidR="00714D64" w:rsidRPr="00E435C0">
        <w:t>, and remain difficult to parametrize in practice. Furthermore, h</w:t>
      </w:r>
      <w:r w:rsidRPr="00E435C0">
        <w:t xml:space="preserve">uman modifications to floodplains, including the replacement of vegetation with agricultural fields, roads, and urban development, have altered floodplain roughness. Artificial structures like levees further decrease floodplain extent and disrupt land cover, reducing energy dissipation in the remaining floodplain </w:t>
      </w:r>
      <w:r w:rsidR="0067752A" w:rsidRPr="00E435C0">
        <w:fldChar w:fldCharType="begin"/>
      </w:r>
      <w:r w:rsidR="0067752A" w:rsidRPr="00E435C0">
        <w:instrText xml:space="preserve"> ADDIN ZOTERO_ITEM CSL_CITATION {"citationID":"ogMVof3H","properties":{"formattedCitation":"(Knox et al., 2022)","plainCitation":"(Knox et al., 2022)","noteIndex":0},"citationItems":[{"id":501,"uris":["http://zotero.org/users/9768842/items/M2BPLMM5"],"itemData":{"id":501,"type":"article-journal","abstract":"Artificial levees are a major human modification of river corridors, but we still do not have a clear understanding of how artificial levees affect floodplain extent at regional and larger scales. We estimated changes in river-floodplain connectivity due to artificial levees in the contiguous United States (CONUS) using a combination of artificial levee databases, delineations of floodplain areas, and deletion of artificial levees from topography. Our results indicate that artificial levees do not only decrease floodplain extent but also alter locations of floodplain connectivity. Anthropogenically connected and disconnected locations are similar in land cover and are predominantly, in decreasing order of extent, cultivated, wetland, forested, and developed land cover types, with more than 30% of the entire floodplain area in the CONUS cultivated or developed. This study indicates that artificial levees cause complex changes in river-floodplain connectivity and can increase flooded areas in some rivers.","container-title":"Science Advances","DOI":"10.1126/sciadv.abo1082","issue":"25","note":"publisher: American Association for the Advancement of Science","page":"eabo1082","source":"science.org (Atypon)","title":"A river ran through it: Floodplains as America’s newest relict landform","title-short":"A river ran through it","volume":"8","author":[{"family":"Knox","given":"Richard L."},{"family":"Morrison","given":"Ryan R."},{"family":"Wohl","given":"Ellen E."}],"issued":{"date-parts":[["2022",6,24]]}}}],"schema":"https://github.com/citation-style-language/schema/raw/master/csl-citation.json"} </w:instrText>
      </w:r>
      <w:r w:rsidR="0067752A" w:rsidRPr="00E435C0">
        <w:fldChar w:fldCharType="separate"/>
      </w:r>
      <w:r w:rsidR="0067752A" w:rsidRPr="00E435C0">
        <w:t>(Knox et al., 2022)</w:t>
      </w:r>
      <w:r w:rsidR="0067752A" w:rsidRPr="00E435C0">
        <w:fldChar w:fldCharType="end"/>
      </w:r>
      <w:r w:rsidRPr="00E435C0">
        <w:t>. Consequently, the original vegetation classes developed for canals may no longer adequately explain floodplain roughness in overbank areas.</w:t>
      </w:r>
    </w:p>
    <w:p w14:paraId="0FFFC142" w14:textId="372BA71F" w:rsidR="006A6BDE" w:rsidRPr="00E435C0" w:rsidRDefault="006A6BDE" w:rsidP="00142B22">
      <w:pPr>
        <w:pStyle w:val="Text"/>
        <w:spacing w:line="480" w:lineRule="auto"/>
      </w:pPr>
      <w:r w:rsidRPr="00E435C0">
        <w:t xml:space="preserve">The main goal of this study was to characterize roughness </w:t>
      </w:r>
      <w:r w:rsidR="000605AF" w:rsidRPr="00E435C0">
        <w:t xml:space="preserve">in floodplains across the </w:t>
      </w:r>
      <w:r w:rsidR="00714D64" w:rsidRPr="00E435C0">
        <w:t xml:space="preserve">continental </w:t>
      </w:r>
      <w:r w:rsidR="000605AF" w:rsidRPr="00E435C0">
        <w:t xml:space="preserve">US </w:t>
      </w:r>
      <w:r w:rsidRPr="00E435C0">
        <w:t xml:space="preserve">and its relationship with flow and vegetation characteristics. Specially, we examined how floodplain roughness varied with flow velocity, vegetation inundation fraction, and floodplain biomass. Direct estimates of floodplain Manning’s </w:t>
      </w:r>
      <w:r w:rsidRPr="00E435C0">
        <w:rPr>
          <w:i/>
          <w:iCs/>
        </w:rPr>
        <w:t>n</w:t>
      </w:r>
      <w:r w:rsidRPr="00E435C0">
        <w:t xml:space="preserve"> were produced using field measurements collected by the United States Geological Survey (USGS) during overbank flows. Estimated </w:t>
      </w:r>
      <w:r w:rsidRPr="00E435C0">
        <w:rPr>
          <w:i/>
          <w:iCs/>
        </w:rPr>
        <w:t>n</w:t>
      </w:r>
      <w:r w:rsidRPr="00E435C0">
        <w:t xml:space="preserve"> values were then related to </w:t>
      </w:r>
      <w:r w:rsidR="00E8597C" w:rsidRPr="00E435C0">
        <w:t>remotely sensed</w:t>
      </w:r>
      <w:r w:rsidRPr="00E435C0">
        <w:t xml:space="preserve"> vegetation height and biomass data to quantify their influence </w:t>
      </w:r>
      <w:r w:rsidR="00CA7EEF" w:rsidRPr="00E435C0">
        <w:t xml:space="preserve">on </w:t>
      </w:r>
      <w:r w:rsidRPr="00E435C0">
        <w:t xml:space="preserve">energy dissipation in floodplains. Finally, an empirical </w:t>
      </w:r>
      <w:r w:rsidR="00CA7EEF" w:rsidRPr="00E435C0">
        <w:t xml:space="preserve">function </w:t>
      </w:r>
      <w:r w:rsidRPr="00E435C0">
        <w:t>was developed to characterize interactions between floodplain roughness, velocity, and vegetation properties.</w:t>
      </w:r>
      <w:r w:rsidR="00D20E0F" w:rsidRPr="00E435C0">
        <w:t xml:space="preserve"> Additionally, we conducted cross-validation analyses to validate our methodology and compared our results with existing approaches for estimating floodplain roughness.</w:t>
      </w:r>
    </w:p>
    <w:p w14:paraId="41431D79" w14:textId="77777777" w:rsidR="006A6BDE" w:rsidRPr="00E435C0" w:rsidRDefault="006A6BDE" w:rsidP="00AC418D">
      <w:pPr>
        <w:pStyle w:val="Text"/>
        <w:spacing w:line="480" w:lineRule="auto"/>
      </w:pPr>
    </w:p>
    <w:p w14:paraId="7A8760A4" w14:textId="6719CD5D" w:rsidR="002F3B11" w:rsidRPr="00E435C0" w:rsidRDefault="002F3B11" w:rsidP="00AC418D">
      <w:pPr>
        <w:pStyle w:val="Heading-Main"/>
        <w:spacing w:line="480" w:lineRule="auto"/>
      </w:pPr>
      <w:r w:rsidRPr="00E435C0">
        <w:lastRenderedPageBreak/>
        <w:t>2 Materials and Methods</w:t>
      </w:r>
    </w:p>
    <w:p w14:paraId="3A3D092E" w14:textId="59012758" w:rsidR="00B26A45" w:rsidRPr="00E435C0" w:rsidRDefault="00B26A45" w:rsidP="008E5FA9">
      <w:pPr>
        <w:pStyle w:val="Abstract"/>
        <w:spacing w:line="480" w:lineRule="auto"/>
        <w:ind w:firstLine="720"/>
        <w:rPr>
          <w:lang w:val="es-US"/>
        </w:rPr>
      </w:pPr>
      <w:r w:rsidRPr="00E435C0">
        <w:t>In this study, Manning's equation is applied specifically to the floodplain, separate from the main river channel</w:t>
      </w:r>
      <w:r w:rsidR="00080D73" w:rsidRPr="00E435C0">
        <w:t xml:space="preserve">. </w:t>
      </w:r>
      <w:r w:rsidR="007C67ED" w:rsidRPr="00E435C0">
        <w:t>The</w:t>
      </w:r>
      <w:r w:rsidRPr="00E435C0">
        <w:t xml:space="preserve"> floodplain discharge</w:t>
      </w:r>
      <w:r w:rsidR="00091C06" w:rsidRPr="00E435C0">
        <w:t xml:space="preserve"> </w:t>
      </w:r>
      <w:r w:rsidRPr="00E435C0">
        <w:t>is isolated by subtracting the discharge within the main channel from the total measured discharge</w:t>
      </w:r>
      <w:r w:rsidR="00091C06" w:rsidRPr="00E435C0">
        <w:t xml:space="preserve"> (see Supporting Information Figure S1 for a schematic of the floodplain as defined in this study)</w:t>
      </w:r>
      <w:r w:rsidRPr="00E435C0">
        <w:t xml:space="preserve">. </w:t>
      </w:r>
      <w:r w:rsidR="00714D64" w:rsidRPr="00E435C0">
        <w:t xml:space="preserve">Values of Manning’s </w:t>
      </w:r>
      <w:r w:rsidR="00714D64" w:rsidRPr="00E435C0">
        <w:rPr>
          <w:i/>
          <w:iCs/>
        </w:rPr>
        <w:t>n</w:t>
      </w:r>
      <w:r w:rsidR="00714D64" w:rsidRPr="00E435C0">
        <w:t xml:space="preserve"> are then </w:t>
      </w:r>
      <w:r w:rsidRPr="00E435C0">
        <w:t xml:space="preserve">derived </w:t>
      </w:r>
      <w:r w:rsidR="00E3319B" w:rsidRPr="00E435C0">
        <w:t xml:space="preserve">by </w:t>
      </w:r>
      <w:r w:rsidR="00091C06" w:rsidRPr="00E435C0">
        <w:t xml:space="preserve">inverting </w:t>
      </w:r>
      <w:r w:rsidRPr="00E435C0">
        <w:t xml:space="preserve">Manning's equation </w:t>
      </w:r>
      <w:r w:rsidR="00E3319B" w:rsidRPr="00E435C0">
        <w:t xml:space="preserve">and solving </w:t>
      </w:r>
      <w:r w:rsidRPr="00E435C0">
        <w:t>for the floodplain</w:t>
      </w:r>
      <w:r w:rsidR="00091C06" w:rsidRPr="00E435C0">
        <w:t xml:space="preserve"> roughness</w:t>
      </w:r>
      <w:r w:rsidR="00714D64" w:rsidRPr="00E435C0">
        <w:t xml:space="preserve"> (see </w:t>
      </w:r>
      <w:r w:rsidR="00091C06" w:rsidRPr="00E435C0">
        <w:t>Supporting Information</w:t>
      </w:r>
      <w:r w:rsidR="00714D64" w:rsidRPr="00E435C0">
        <w:t>)</w:t>
      </w:r>
      <w:r w:rsidR="00E3319B" w:rsidRPr="00E435C0">
        <w:t xml:space="preserve"> during periods of overbank flow</w:t>
      </w:r>
      <w:r w:rsidR="00745C04" w:rsidRPr="00E435C0">
        <w:t xml:space="preserve"> </w:t>
      </w:r>
      <w:r w:rsidR="00DD369F" w:rsidRPr="00E435C0">
        <w:fldChar w:fldCharType="begin"/>
      </w:r>
      <w:r w:rsidR="00DD369F" w:rsidRPr="00E435C0">
        <w:instrText xml:space="preserve"> ADDIN ZOTERO_ITEM CSL_CITATION {"citationID":"r3XQIpdg","properties":{"formattedCitation":"(Reclamation, 2001)","plainCitation":"(Reclamation, 2001)","noteIndex":0},"citationItems":[{"id":960,"uris":["http://zotero.org/users/9768842/items/YMVSVI2C"],"itemData":{"id":960,"type":"book","publisher":"The Bureau","source":"Google Scholar","title":"Water measurement manual","URL":"https://books.google.com/books?hl=es&amp;lr=&amp;id=7PdRAAAAMAAJ&amp;oi=fnd&amp;pg=PA11&amp;dq=water+measurements+manual+usbr&amp;ots=ajRs6q1ds-&amp;sig=atpXC2u8__bFWTy9ndNikoeB7a8","author":[{"family":"Reclamation","given":"United States Bureau","dropping-particle":"of"}],"accessed":{"date-parts":[["2023",9,25]]},"issued":{"date-parts":[["2001"]]}}}],"schema":"https://github.com/citation-style-language/schema/raw/master/csl-citation.json"} </w:instrText>
      </w:r>
      <w:r w:rsidR="00DD369F" w:rsidRPr="00E435C0">
        <w:fldChar w:fldCharType="separate"/>
      </w:r>
      <w:r w:rsidR="00DD369F" w:rsidRPr="00E435C0">
        <w:t>(Reclamation, 2001)</w:t>
      </w:r>
      <w:r w:rsidR="00DD369F" w:rsidRPr="00E435C0">
        <w:fldChar w:fldCharType="end"/>
      </w:r>
      <w:r w:rsidRPr="00E435C0">
        <w:t>. The necessary parameters for calculation</w:t>
      </w:r>
      <w:r w:rsidR="00714D64" w:rsidRPr="00E435C0">
        <w:t xml:space="preserve"> of </w:t>
      </w:r>
      <w:r w:rsidR="00714D64" w:rsidRPr="00E435C0">
        <w:rPr>
          <w:i/>
          <w:iCs/>
        </w:rPr>
        <w:t>n</w:t>
      </w:r>
      <w:r w:rsidRPr="00E435C0">
        <w:t xml:space="preserve"> are obtained from field measurements datasets provided by the USGS</w:t>
      </w:r>
      <w:r w:rsidR="002303A0" w:rsidRPr="00E435C0">
        <w:t xml:space="preserve"> </w:t>
      </w:r>
      <w:r w:rsidR="002303A0" w:rsidRPr="00E435C0">
        <w:fldChar w:fldCharType="begin"/>
      </w:r>
      <w:r w:rsidR="002303A0" w:rsidRPr="00E435C0">
        <w:instrText xml:space="preserve"> ADDIN ZOTERO_ITEM CSL_CITATION {"citationID":"mHC2wsZY","properties":{"formattedCitation":"(USGS, 2021a)","plainCitation":"(USGS, 2021a)","noteIndex":0},"citationItems":[{"id":220,"uris":["http://zotero.org/users/9768842/items/NK52IVNY"],"itemData":{"id":220,"type":"webpage","title":"Measurements - Surface Water for USA: Streamflow Measurements","URL":"https://waterdata.usgs.gov/nwis/measurements","author":[{"family":"USGS","given":""}],"accessed":{"date-parts":[["2022",8,25]]},"issued":{"date-parts":[["2021"]]}}}],"schema":"https://github.com/citation-style-language/schema/raw/master/csl-citation.json"} </w:instrText>
      </w:r>
      <w:r w:rsidR="002303A0" w:rsidRPr="00E435C0">
        <w:fldChar w:fldCharType="separate"/>
      </w:r>
      <w:r w:rsidR="002303A0" w:rsidRPr="00E435C0">
        <w:t>(USGS, 2021a)</w:t>
      </w:r>
      <w:r w:rsidR="002303A0" w:rsidRPr="00E435C0">
        <w:fldChar w:fldCharType="end"/>
      </w:r>
      <w:r w:rsidRPr="00E435C0">
        <w:t>. The flood stage height is determined by the National Weather Service</w:t>
      </w:r>
      <w:r w:rsidR="004F69F1" w:rsidRPr="00E435C0">
        <w:t xml:space="preserve"> </w:t>
      </w:r>
      <w:r w:rsidR="004F69F1" w:rsidRPr="00E435C0">
        <w:fldChar w:fldCharType="begin"/>
      </w:r>
      <w:r w:rsidR="00817C22" w:rsidRPr="00E435C0">
        <w:instrText xml:space="preserve"> ADDIN ZOTERO_ITEM CSL_CITATION {"citationID":"uhr68JKD","properties":{"formattedCitation":"(NWS, 2021; Slater et al., 2015)","plainCitation":"(NWS, 2021; Slater et al., 2015)","noteIndex":0},"citationItems":[{"id":472,"uris":["http://zotero.org/users/9768842/items/UQYLRPWS"],"itemData":{"id":472,"type":"webpage","title":"USGS WaterWatch - Streamflow conditions","URL":"https://waterwatch.usgs.gov/","author":[{"family":"NWS","given":""}],"accessed":{"date-parts":[["2022",11,3]]},"issued":{"date-parts":[["2021"]]}}},{"id":240,"uris":["http://zotero.org/users/9768842/items/4BQRZP8X"],"itemData":{"id":240,"type":"article-journal","abstract":"Flooding is a major hazard to lives and infrastructure, but trends in ﬂood hazard are poorly understood. The capacity of river channels to convey ﬂood ﬂows is typically assumed to be stationary, so changes in ﬂood frequency are thought to be driven primarily by trends in streamﬂow. We have developed new methods for separately quantifying how trends in both streamﬂow and channel capacity have affected ﬂood frequency at gauging sites across the United States Flood frequency was generally nonstationary, with increasing ﬂood hazard at a statistically signiﬁcant majority of sites. Changes in ﬂood hazard driven by channel capacity were smaller, but more numerous, than those driven by streamﬂow. Our results demonstrate that accurately quantifying changes in ﬂood hazard requires accounting separately for trends in both streamﬂow and channel capacity. They also show that channel capacity trends may have unforeseen consequences for ﬂood management and for estimating ﬂood insurance costs.","container-title":"Geophysical Research Letters","DOI":"10.1002/2014GL062482","ISSN":"00948276","issue":"2","journalAbbreviation":"Geophys. Res. Lett.","language":"en","note":"number: 2","page":"370-376","source":"DOI.org (Crossref)","title":"Hydrologic versus geomorphic drivers of trends in flood hazard","volume":"42","author":[{"family":"Slater","given":"Louise J."},{"family":"Singer","given":"Michael Bliss"},{"family":"Kirchner","given":"James W."}],"issued":{"date-parts":[["2015",1,28]]}}}],"schema":"https://github.com/citation-style-language/schema/raw/master/csl-citation.json"} </w:instrText>
      </w:r>
      <w:r w:rsidR="004F69F1" w:rsidRPr="00E435C0">
        <w:fldChar w:fldCharType="separate"/>
      </w:r>
      <w:r w:rsidR="00817C22" w:rsidRPr="00E435C0">
        <w:t>(NWS, 2021; Slater et al., 2015)</w:t>
      </w:r>
      <w:r w:rsidR="004F69F1" w:rsidRPr="00E435C0">
        <w:fldChar w:fldCharType="end"/>
      </w:r>
      <w:r w:rsidRPr="00E435C0">
        <w:t>, and friction slope estimates are obtained from the National Hydrography Dataset</w:t>
      </w:r>
      <w:r w:rsidR="00091C06" w:rsidRPr="00E435C0">
        <w:t xml:space="preserve"> (NHD)</w:t>
      </w:r>
      <w:r w:rsidR="006218AF" w:rsidRPr="00E435C0">
        <w:t xml:space="preserve"> </w:t>
      </w:r>
      <w:r w:rsidR="006218AF" w:rsidRPr="00E435C0">
        <w:fldChar w:fldCharType="begin"/>
      </w:r>
      <w:r w:rsidR="002303A0" w:rsidRPr="00E435C0">
        <w:instrText xml:space="preserve"> ADDIN ZOTERO_ITEM CSL_CITATION {"citationID":"H4nr3c8K","properties":{"formattedCitation":"(USGS, 2021b)","plainCitation":"(USGS, 2021b)","noteIndex":0},"citationItems":[{"id":217,"uris":["http://zotero.org/users/9768842/items/DGSAU7EC"],"itemData":{"id":217,"type":"webpage","title":"National Hydrography Dataset | U.S. Geological Survey","URL":"https://www.usgs.gov/national-hydrography/national-hydrography-dataset","author":[{"family":"USGS","given":""}],"accessed":{"date-parts":[["2022",8,25]]},"issued":{"date-parts":[["2021"]]}}}],"schema":"https://github.com/citation-style-language/schema/raw/master/csl-citation.json"} </w:instrText>
      </w:r>
      <w:r w:rsidR="006218AF" w:rsidRPr="00E435C0">
        <w:fldChar w:fldCharType="separate"/>
      </w:r>
      <w:r w:rsidR="002303A0" w:rsidRPr="00E435C0">
        <w:t>(USGS, 2021b)</w:t>
      </w:r>
      <w:r w:rsidR="006218AF" w:rsidRPr="00E435C0">
        <w:fldChar w:fldCharType="end"/>
      </w:r>
      <w:r w:rsidRPr="00E435C0">
        <w:t>.</w:t>
      </w:r>
      <w:r w:rsidR="00091C06" w:rsidRPr="00E435C0">
        <w:t xml:space="preserve"> Estimates of </w:t>
      </w:r>
      <w:r w:rsidR="00091C06" w:rsidRPr="00E435C0">
        <w:rPr>
          <w:i/>
          <w:iCs/>
        </w:rPr>
        <w:t>n</w:t>
      </w:r>
      <w:r w:rsidR="00091C06" w:rsidRPr="00E435C0">
        <w:t xml:space="preserve"> were constrained to those sites meeting strict quality control metrics including consistency</w:t>
      </w:r>
      <w:r w:rsidR="009F0F8F" w:rsidRPr="00E435C0">
        <w:t xml:space="preserve"> </w:t>
      </w:r>
      <w:r w:rsidR="00091C06" w:rsidRPr="00E435C0">
        <w:t>with current USGS rating curves and observed channel geometries</w:t>
      </w:r>
      <w:r w:rsidR="00152C3B" w:rsidRPr="00E435C0">
        <w:t xml:space="preserve"> </w:t>
      </w:r>
      <w:r w:rsidR="00152C3B" w:rsidRPr="00E435C0">
        <w:fldChar w:fldCharType="begin"/>
      </w:r>
      <w:r w:rsidR="006C5454" w:rsidRPr="00E435C0">
        <w:instrText xml:space="preserve"> ADDIN ZOTERO_ITEM CSL_CITATION {"citationID":"4mPRhLRi","properties":{"formattedCitation":"(Liu, 2011; Vinutha et al., 2018)","plainCitation":"(Liu, 2011; Vinutha et al., 2018)","noteIndex":0},"citationItems":[{"id":210,"uris":["http://zotero.org/users/9768842/items/RKL8GCBA"],"itemData":{"id":210,"type":"article-journal","abstract":"Airborne LiDAR has become the preferred technology for digital elevation data acquisition in a wide range of applications. The vertical accuracy with respect to a specified vertical datum is the principal criterion in specifying the quality of LiDAR elevation data. The quantitative assessment of LiDAR elevation data is usually conducted by comparing high-accuracy checkpoints with elevations estimated from the LiDAR ground data. However, the collection of a sufficient number of checkpoints by field surveying is a time-consuming task. This study used survey marks to assess the vertical accuracy of LiDAR data for different land covers in a rural area and explored the performance of different methods for deriving elevations from LiDAR data corresponding to the locations of checkpoints. Normality tests using both frequency histograms and quantile-quantile plots were performed for vertical differences between the LiDAR data and the checkpoints, so the appropriate methods were used for the vertical accuracy assessment of LiDAR data for different land cover categories. The results demonstrated the suitability of using survey marks as checkpoints for the assessment of the vertical accuracy of LiDAR data.","container-title":"Survey Review","DOI":"10.1179/003962611X12894696204704","ISSN":"0039-6265","issue":"319","note":"number: 319\npublisher: Taylor &amp; Francis\n_eprint: https://doi.org/10.1179/003962611X12894696204704","page":"80-93","source":"Taylor and Francis+NEJM","title":"Accuracy Assessment of Lidar Elevation Data Using Survey Marks","volume":"43","author":[{"family":"Liu","given":"Xiaoye"}],"issued":{"date-parts":[["2011",1,1]]}}},{"id":495,"uris":["http://zotero.org/users/9768842/items/Y74D5HZ4"],"itemData":{"id":495,"type":"paper-conference","abstract":"Unpredictable usage of Internet adds more problems to the network. Protecting the system from the anomalous behavior plays a major issue in NIDS. Data mining approaches in the field of Intrusion Detection S</w:instrText>
      </w:r>
      <w:r w:rsidR="006C5454" w:rsidRPr="00E435C0">
        <w:rPr>
          <w:lang w:val="es-US"/>
        </w:rPr>
        <w:instrText xml:space="preserve">ystem (IDS) is becoming more popular. The outlier is a current problem faced by many data mining researches. Outliers are the patterns which are not in the range of normal behavior. Outliers in the dataset produce more false positive alarms, and this has to be reduced to increase the efficiency of IDS. We have used Interquartile Range technique to identify the outliers in the NSLKDD’99. In this, the continuous range of input is divided into quartiles and these quartiles are analyzed to target the range of outliers. Then the obtained outliers are removed by a filter called remove with value. The experiment is conducted using Weka data mining tool.","collection-title":"Advances in Intelligent Systems and Computing","container-title":"Information and Decision Sciences","DOI":"10.1007/978-981-10-7563-6_53","event-place":"Singapore","ISBN":"978-981-10-7563-6","language":"en","page":"511-518","publisher":"Springer","publisher-place":"Singapore","source":"Springer Link","title":"Detection of Outliers Using Interquartile Range Technique from Intrusion Dataset","author":[{"family":"Vinutha","given":"H. P."},{"family":"Poornima","given":"B."},{"family":"Sagar","given":"B. M."}],"editor":[{"family":"Satapathy","given":"Suresh Chandra"},{"family":"Tavares","given":"Joao Manuel R.S."},{"family":"Bhateja","given":"Vikrant"},{"family":"Mohanty","given":"J. R."}],"issued":{"date-parts":[["2018"]]}}}],"schema":"https://github.com/citation-style-language/schema/raw/master/csl-citation.json"} </w:instrText>
      </w:r>
      <w:r w:rsidR="00152C3B" w:rsidRPr="00E435C0">
        <w:fldChar w:fldCharType="separate"/>
      </w:r>
      <w:r w:rsidR="006C5454" w:rsidRPr="00E435C0">
        <w:rPr>
          <w:lang w:val="es-US"/>
        </w:rPr>
        <w:t xml:space="preserve">(Liu, 2011; </w:t>
      </w:r>
      <w:proofErr w:type="spellStart"/>
      <w:r w:rsidR="006C5454" w:rsidRPr="00E435C0">
        <w:rPr>
          <w:lang w:val="es-US"/>
        </w:rPr>
        <w:t>Vinutha</w:t>
      </w:r>
      <w:proofErr w:type="spellEnd"/>
      <w:r w:rsidR="006C5454" w:rsidRPr="00E435C0">
        <w:rPr>
          <w:lang w:val="es-US"/>
        </w:rPr>
        <w:t xml:space="preserve"> et al., 2018)</w:t>
      </w:r>
      <w:r w:rsidR="00152C3B" w:rsidRPr="00E435C0">
        <w:fldChar w:fldCharType="end"/>
      </w:r>
      <w:r w:rsidR="00091C06" w:rsidRPr="00E435C0">
        <w:rPr>
          <w:lang w:val="es-US"/>
        </w:rPr>
        <w:t>.</w:t>
      </w:r>
    </w:p>
    <w:p w14:paraId="5AC2EB0C" w14:textId="33D42E95" w:rsidR="007C0AC8" w:rsidRPr="00E435C0" w:rsidRDefault="007C0AC8" w:rsidP="00F932AE">
      <w:pPr>
        <w:pStyle w:val="Abstract"/>
        <w:spacing w:line="480" w:lineRule="auto"/>
        <w:ind w:left="2160" w:firstLine="720"/>
        <w:rPr>
          <w:rFonts w:ascii="Cambria Math" w:hAnsi="Cambria Math"/>
          <w:iCs/>
          <w:lang w:val="es-US"/>
        </w:rPr>
      </w:pPr>
      <m:oMath>
        <m:r>
          <w:rPr>
            <w:rFonts w:ascii="Cambria Math" w:hAnsi="Cambria Math"/>
          </w:rPr>
          <m:t>Q</m:t>
        </m:r>
        <m:r>
          <w:rPr>
            <w:rFonts w:ascii="Cambria Math" w:hAnsi="Cambria Math"/>
            <w:lang w:val="es-US"/>
          </w:rPr>
          <m:t>=</m:t>
        </m:r>
        <m:f>
          <m:fPr>
            <m:ctrlPr>
              <w:rPr>
                <w:rFonts w:ascii="Cambria Math" w:hAnsi="Cambria Math"/>
                <w:i/>
              </w:rPr>
            </m:ctrlPr>
          </m:fPr>
          <m:num>
            <m:r>
              <w:rPr>
                <w:rFonts w:ascii="Cambria Math" w:hAnsi="Cambria Math"/>
              </w:rPr>
              <m:t>k</m:t>
            </m:r>
          </m:num>
          <m:den>
            <m:r>
              <w:rPr>
                <w:rFonts w:ascii="Cambria Math" w:hAnsi="Cambria Math"/>
              </w:rPr>
              <m:t>n</m:t>
            </m:r>
          </m:den>
        </m:f>
        <m:sSup>
          <m:sSupPr>
            <m:ctrlPr>
              <w:rPr>
                <w:rFonts w:ascii="Cambria Math" w:hAnsi="Cambria Math"/>
                <w:i/>
              </w:rPr>
            </m:ctrlPr>
          </m:sSupPr>
          <m:e>
            <m:r>
              <w:rPr>
                <w:rFonts w:ascii="Cambria Math" w:hAnsi="Cambria Math"/>
                <w:lang w:val="es-US"/>
              </w:rPr>
              <m:t xml:space="preserve"> </m:t>
            </m:r>
            <m:r>
              <w:rPr>
                <w:rFonts w:ascii="Cambria Math" w:hAnsi="Cambria Math"/>
              </w:rPr>
              <m:t>S</m:t>
            </m:r>
          </m:e>
          <m:sup>
            <m:box>
              <m:boxPr>
                <m:ctrlPr>
                  <w:rPr>
                    <w:rFonts w:ascii="Cambria Math" w:hAnsi="Cambria Math"/>
                    <w:i/>
                  </w:rPr>
                </m:ctrlPr>
              </m:boxPr>
              <m:e>
                <m:argPr>
                  <m:argSz m:val="-1"/>
                </m:argPr>
                <m:r>
                  <w:rPr>
                    <w:rFonts w:ascii="Cambria Math" w:hAnsi="Cambria Math"/>
                    <w:lang w:val="es-US"/>
                  </w:rPr>
                  <m:t>1/2</m:t>
                </m:r>
              </m:e>
            </m:box>
          </m:sup>
        </m:sSup>
        <m:sSup>
          <m:sSupPr>
            <m:ctrlPr>
              <w:rPr>
                <w:rFonts w:ascii="Cambria Math" w:hAnsi="Cambria Math"/>
                <w:i/>
              </w:rPr>
            </m:ctrlPr>
          </m:sSupPr>
          <m:e>
            <m:r>
              <w:rPr>
                <w:rFonts w:ascii="Cambria Math" w:hAnsi="Cambria Math"/>
              </w:rPr>
              <m:t>R</m:t>
            </m:r>
          </m:e>
          <m:sup>
            <m:r>
              <w:rPr>
                <w:rFonts w:ascii="Cambria Math" w:hAnsi="Cambria Math"/>
                <w:lang w:val="es-US"/>
              </w:rPr>
              <m:t>2/3</m:t>
            </m:r>
          </m:sup>
        </m:sSup>
        <m:r>
          <w:rPr>
            <w:rFonts w:ascii="Cambria Math" w:hAnsi="Cambria Math"/>
            <w:lang w:val="es-US"/>
          </w:rPr>
          <m:t xml:space="preserve"> </m:t>
        </m:r>
        <m:r>
          <w:rPr>
            <w:rFonts w:ascii="Cambria Math" w:hAnsi="Cambria Math"/>
          </w:rPr>
          <m:t>A</m:t>
        </m:r>
      </m:oMath>
      <w:r w:rsidRPr="00E435C0">
        <w:rPr>
          <w:rFonts w:ascii="Cambria Math" w:hAnsi="Cambria Math"/>
          <w:i/>
          <w:lang w:val="es-US"/>
        </w:rPr>
        <w:tab/>
      </w:r>
      <w:r w:rsidRPr="00E435C0">
        <w:rPr>
          <w:rFonts w:ascii="Cambria Math" w:hAnsi="Cambria Math"/>
          <w:i/>
          <w:lang w:val="es-US"/>
        </w:rPr>
        <w:tab/>
      </w:r>
      <w:r w:rsidRPr="00E435C0">
        <w:rPr>
          <w:rFonts w:ascii="Cambria Math" w:hAnsi="Cambria Math"/>
          <w:i/>
          <w:lang w:val="es-US"/>
        </w:rPr>
        <w:tab/>
      </w:r>
      <w:r w:rsidRPr="00E435C0">
        <w:rPr>
          <w:rFonts w:ascii="Cambria Math" w:hAnsi="Cambria Math"/>
          <w:i/>
          <w:lang w:val="es-US"/>
        </w:rPr>
        <w:tab/>
      </w:r>
      <w:r w:rsidRPr="00E435C0">
        <w:rPr>
          <w:rFonts w:ascii="Cambria Math" w:hAnsi="Cambria Math"/>
          <w:i/>
          <w:lang w:val="es-US"/>
        </w:rPr>
        <w:tab/>
      </w:r>
      <w:r w:rsidRPr="00E435C0">
        <w:rPr>
          <w:rFonts w:ascii="Cambria Math" w:hAnsi="Cambria Math"/>
          <w:i/>
          <w:lang w:val="es-US"/>
        </w:rPr>
        <w:tab/>
      </w:r>
      <w:r w:rsidRPr="00E435C0">
        <w:rPr>
          <w:lang w:val="es-US"/>
        </w:rPr>
        <w:t>(</w:t>
      </w:r>
      <w:proofErr w:type="spellStart"/>
      <w:r w:rsidR="00F932AE" w:rsidRPr="00E435C0">
        <w:rPr>
          <w:lang w:val="es-US"/>
        </w:rPr>
        <w:t>eq</w:t>
      </w:r>
      <w:proofErr w:type="spellEnd"/>
      <w:r w:rsidR="00F932AE" w:rsidRPr="00E435C0">
        <w:rPr>
          <w:lang w:val="es-US"/>
        </w:rPr>
        <w:t xml:space="preserve">. </w:t>
      </w:r>
      <w:r w:rsidRPr="00E435C0">
        <w:rPr>
          <w:lang w:val="es-US"/>
        </w:rPr>
        <w:t>1)</w:t>
      </w:r>
    </w:p>
    <w:p w14:paraId="6403D3D7" w14:textId="2C500FD5" w:rsidR="00C3307B" w:rsidRPr="00E435C0" w:rsidRDefault="007C0AC8" w:rsidP="00F932AE">
      <w:pPr>
        <w:pStyle w:val="Abstract"/>
        <w:spacing w:line="480" w:lineRule="auto"/>
      </w:pPr>
      <w:r w:rsidRPr="00E435C0">
        <w:t xml:space="preserve">where </w:t>
      </w:r>
      <m:oMath>
        <m:r>
          <w:rPr>
            <w:rFonts w:ascii="Cambria Math" w:hAnsi="Cambria Math"/>
          </w:rPr>
          <m:t>Q</m:t>
        </m:r>
      </m:oMath>
      <w:r w:rsidRPr="00E435C0">
        <w:t xml:space="preserve"> is discharge [L</w:t>
      </w:r>
      <w:r w:rsidRPr="00E435C0">
        <w:rPr>
          <w:vertAlign w:val="superscript"/>
        </w:rPr>
        <w:t>3</w:t>
      </w:r>
      <w:r w:rsidRPr="00E435C0">
        <w:t xml:space="preserve"> t</w:t>
      </w:r>
      <w:r w:rsidRPr="00E435C0">
        <w:rPr>
          <w:vertAlign w:val="superscript"/>
        </w:rPr>
        <w:t>-1</w:t>
      </w:r>
      <w:r w:rsidRPr="00E435C0">
        <w:t xml:space="preserve">], </w:t>
      </w:r>
      <m:oMath>
        <m:r>
          <w:rPr>
            <w:rFonts w:ascii="Cambria Math" w:hAnsi="Cambria Math"/>
          </w:rPr>
          <m:t>S</m:t>
        </m:r>
      </m:oMath>
      <w:r w:rsidRPr="00E435C0">
        <w:t xml:space="preserve"> is the friction slope, defining the energy loss along a reach</w:t>
      </w:r>
      <w:r w:rsidR="00E7620A" w:rsidRPr="00E435C0">
        <w:t xml:space="preserve"> </w:t>
      </w:r>
      <w:r w:rsidRPr="00E435C0">
        <w:t>[L L</w:t>
      </w:r>
      <w:r w:rsidRPr="00E435C0">
        <w:rPr>
          <w:iCs/>
          <w:vertAlign w:val="superscript"/>
        </w:rPr>
        <w:t>-1</w:t>
      </w:r>
      <w:r w:rsidRPr="00E435C0">
        <w:t xml:space="preserve">], </w:t>
      </w:r>
      <m:oMath>
        <m:r>
          <w:rPr>
            <w:rFonts w:ascii="Cambria Math" w:hAnsi="Cambria Math"/>
          </w:rPr>
          <m:t>R</m:t>
        </m:r>
      </m:oMath>
      <w:r w:rsidRPr="00E435C0">
        <w:t xml:space="preserve"> the hydraulic radius [L], </w:t>
      </w:r>
      <m:oMath>
        <m:r>
          <w:rPr>
            <w:rFonts w:ascii="Cambria Math" w:hAnsi="Cambria Math"/>
          </w:rPr>
          <m:t>A</m:t>
        </m:r>
      </m:oMath>
      <w:r w:rsidRPr="00E435C0">
        <w:t xml:space="preserve"> is cross-sectional area [L</w:t>
      </w:r>
      <w:r w:rsidRPr="00E435C0">
        <w:rPr>
          <w:vertAlign w:val="superscript"/>
        </w:rPr>
        <w:t>2</w:t>
      </w:r>
      <w:r w:rsidRPr="00E435C0">
        <w:t xml:space="preserve">], </w:t>
      </w:r>
      <m:oMath>
        <m:r>
          <w:rPr>
            <w:rFonts w:ascii="Cambria Math" w:hAnsi="Cambria Math"/>
          </w:rPr>
          <m:t>k</m:t>
        </m:r>
      </m:oMath>
      <w:r w:rsidRPr="00E435C0">
        <w:t xml:space="preserve"> is a unit conversion factor, and </w:t>
      </w:r>
      <m:oMath>
        <m:r>
          <w:rPr>
            <w:rFonts w:ascii="Cambria Math" w:hAnsi="Cambria Math"/>
          </w:rPr>
          <m:t>n</m:t>
        </m:r>
      </m:oMath>
      <w:r w:rsidRPr="00E435C0">
        <w:t xml:space="preserve"> is Manning’s roughness coefficient.</w:t>
      </w:r>
    </w:p>
    <w:p w14:paraId="21CB2D00" w14:textId="4CE78C44" w:rsidR="00E50D89" w:rsidRPr="00E435C0" w:rsidRDefault="00487D58" w:rsidP="00091C06">
      <w:pPr>
        <w:pStyle w:val="Abstract"/>
        <w:spacing w:line="480" w:lineRule="auto"/>
        <w:ind w:firstLine="720"/>
      </w:pPr>
      <w:r w:rsidRPr="00E435C0">
        <w:t xml:space="preserve">At USGS gauging stations where </w:t>
      </w:r>
      <w:r w:rsidRPr="00E435C0">
        <w:rPr>
          <w:i/>
          <w:iCs/>
        </w:rPr>
        <w:t xml:space="preserve">n </w:t>
      </w:r>
      <w:r w:rsidRPr="00E435C0">
        <w:t>values are estimated, v</w:t>
      </w:r>
      <w:r w:rsidR="00B26A45" w:rsidRPr="00E435C0">
        <w:t>egetation characteristics, such as aboveground biomass density and vegetation canopy height, are obtained from NASA's</w:t>
      </w:r>
      <w:r w:rsidRPr="00E435C0">
        <w:t xml:space="preserve"> Global Ecosystem Dynamics Investigation</w:t>
      </w:r>
      <w:r w:rsidR="00B26A45" w:rsidRPr="00E435C0">
        <w:t xml:space="preserve"> </w:t>
      </w:r>
      <w:r w:rsidRPr="00E435C0">
        <w:t>(</w:t>
      </w:r>
      <w:r w:rsidR="00B26A45" w:rsidRPr="00E435C0">
        <w:t>GEDI</w:t>
      </w:r>
      <w:r w:rsidRPr="00E435C0">
        <w:t>)</w:t>
      </w:r>
      <w:r w:rsidR="00843A23" w:rsidRPr="00E435C0">
        <w:t xml:space="preserve"> </w:t>
      </w:r>
      <w:r w:rsidR="00843A23" w:rsidRPr="00E435C0">
        <w:fldChar w:fldCharType="begin"/>
      </w:r>
      <w:r w:rsidR="00843A23" w:rsidRPr="00E435C0">
        <w:instrText xml:space="preserve"> ADDIN ZOTERO_ITEM CSL_CITATION {"citationID":"ifCczIbD","properties":{"formattedCitation":"(Potapov et al., 2021)","plainCitation":"(Potapov et al., 2021)","noteIndex":0},"citationItems":[{"id":479,"uris":["http://zotero.org/users/9768842/items/F8B7TMIY"],"itemData":{"id":479,"type":"article-journal","abstract":"Consistent, large-scale operational monitoring of forest height is essential for estimating forest-related carbon emissions, analyzing forest degradation, and quantifying the effectiveness of forest restoration initiatives. The Global Ecosystem Dynamics Investigation (GEDI) lidar instrument onboard the International Space Station has been collecting unique data on vegetation structure since April 2019. Here, we employed global Landsat analysis-ready data to extrapolate GEDI footprint-level forest canopy height measurements, creating a 30 m spatial resolution global forest canopy height map for the year 2019. The global forest height map was compared to the GEDI validation data (RMSE = 6.6 m; MAE = 4.45 m, R2 = 0.62) and available airborne lidar data (RMSE = 9.07 m; MAE = 6.36 m, R2 = 0.61). The demonstrated integration of GEDI data with time-series optical imagery is expected to enable multidecadal historic analysis and operational forward monitoring of forest height and its dynamics. Such capability is important to support global climate and sustainable development initiatives.","container-title":"Remote Sensing of Environment","DOI":"10.1016/j.rse.2020.112165","ISSN":"0034-4257","journalAbbreviation":"Remote Sensing of Environment","language":"en","page":"112165","source":"ScienceDirect","title":"Mapping global forest canopy height through integration of GEDI and Landsat data","volume":"253","author":[{"family":"Potapov","given":"Peter"},{"family":"Li","given":"Xinyuan"},{"family":"Hernandez-Serna","given":"Andres"},{"family":"Tyukavina","given":"Alexandra"},{"family":"Hansen","given":"Matthew C."},{"family":"Kommareddy","given":"Anil"},{"family":"Pickens","given":"Amy"},{"family":"Turubanova","given":"Svetlana"},{"family":"Tang","given":"Hao"},{"family":"Silva","given":"Carlos Edibaldo"},{"family":"Armston","given":"John"},{"family":"Dubayah","given":"Ralph"},{"family":"Blair","given":"J. Bryan"},{"family":"Hofton","given":"Michelle"}],"issued":{"date-parts":[["2021",2,1]]}}}],"schema":"https://github.com/citation-style-language/schema/raw/master/csl-citation.json"} </w:instrText>
      </w:r>
      <w:r w:rsidR="00843A23" w:rsidRPr="00E435C0">
        <w:fldChar w:fldCharType="separate"/>
      </w:r>
      <w:r w:rsidR="00843A23" w:rsidRPr="00E435C0">
        <w:t>(Potapov et al., 2021)</w:t>
      </w:r>
      <w:r w:rsidR="00843A23" w:rsidRPr="00E435C0">
        <w:fldChar w:fldCharType="end"/>
      </w:r>
      <w:r w:rsidR="00B26A45" w:rsidRPr="00E435C0">
        <w:t>.</w:t>
      </w:r>
      <w:r w:rsidRPr="00E435C0">
        <w:t xml:space="preserve"> GEDI is a LiDAR system mounted on the International Space Station that provides calibrated values of vegetation height and biomass</w:t>
      </w:r>
      <w:r w:rsidR="00BC69E5" w:rsidRPr="00E435C0">
        <w:t xml:space="preserve"> </w:t>
      </w:r>
      <w:r w:rsidRPr="00E435C0">
        <w:t xml:space="preserve">globally at a 25m </w:t>
      </w:r>
      <w:r w:rsidR="00CC2FC7" w:rsidRPr="00E435C0">
        <w:t xml:space="preserve">base </w:t>
      </w:r>
      <w:r w:rsidRPr="00E435C0">
        <w:t xml:space="preserve">resolution and gridded final products at 1km </w:t>
      </w:r>
      <w:r w:rsidRPr="00E435C0">
        <w:lastRenderedPageBreak/>
        <w:t>resolution</w:t>
      </w:r>
      <w:r w:rsidR="004D5D61" w:rsidRPr="00E435C0">
        <w:t xml:space="preserve"> </w:t>
      </w:r>
      <w:r w:rsidR="004D5D61" w:rsidRPr="00E435C0">
        <w:fldChar w:fldCharType="begin"/>
      </w:r>
      <w:r w:rsidR="00CE69AF" w:rsidRPr="00E435C0">
        <w:instrText xml:space="preserve"> ADDIN ZOTERO_ITEM CSL_CITATION {"citationID":"duYdOZSc","properties":{"formattedCitation":"(Dubayah et al., 2021, 2022; Milenkovi\\uc0\\u263{} et al., 2022)","plainCitation":"(Dubayah et al., 2021, 2022; Milenković et al., 2022)","noteIndex":0},"citationItems":[{"id":427,"uris":["http://zotero.org/users/9768842/items/FEP6CE5Z"],"itemData":{"id":427,"type":"article-journal","abstract":"ORNL DAAC: This dataset provides Global Ecosystem Dynamics Investigation (GEDI) Level 3 (L3) gridded mean canopy height, standard deviation of canopy height, mean ground elevation, standard deviation of ground elevation, and counts of laser footprints per 1-km x 1-km grid cells globally within -52 and 52 degrees latitude. These L3 gridded products were derived from Level 2 (L2) geolocated laser footprint return profile metrics from the GEDI instrument onboard the International Space Station (ISS). Canopy height is provided as the mean height (in meters) above the ground of the received waveform signal that was the first reflection off the top of the canopy (RH100). Ground elevation is provided as the mean elevation (in meters) of the center of the lowest waveform mode relative to the WGS84 reference ellipsoid. L3 gridded products can be used to characterize important carbon and water cycling processes, biodiversity, habitat and can also be of immense value for climate modeling, forest management, snow and glacier monitoring, and the generation of digital elevation models. This dataset version uses Version 2 of the input L2 data, which includes improved geolocation of the footprints as well as a modified method to predict an optimum algorithm setting group.","container-title":"ORNL DAAC","DOI":"10.3334/ORNLDAAC/1952","language":"en-US","source":"daac.ornl.gov","title":"GEDI L3 Gridded Land Surface Metrics, Version 2","URL":"https://daac.ornl.gov/cgi-bin/dsviewer.pl?ds_id=1952","author":[{"family":"Dubayah","given":"R. O."},{"family":"Luthcke","given":"S. B."},{"family":"Sabaka","given":"T. J."},{"family":"Nicholas","given":"J. B."},{"family":"Preaux","given":"S."},{"family":"Hofton","given":"M. A."}],"accessed":{"date-parts":[["2022",10,9]]},"issued":{"date-parts":[["2021",11,23]]}}},{"id":488,"uris":["http://zotero.org/users/9768842/items/E66K6UWA"],"itemData":{"id":488,"type":"article-journal","abstract":"ORNL DAAC: This Global Ecosystem Dynamics Investigation (GEDI) L4B product provides 1 km x 1 km (1 km, hereafter) estimates of mean aboveground biomass density (AGBD) based on observations from mission week 19 starting on 2019-04-18 to mission week 138 ending on 2021-08-04. The GEDI L4A Footprint Biomass product converts each high-quality waveform to an AGBD prediction, and the L4B product uses the sample present within the borders of each 1 km cell to statistically infer mean AGBD. The gridding procedure is described in the GEDI L4B Algorithm Theoretical Basis Document (ATBD). Patterson et al. (2019) describes the hybrid model-based mode of inference used in the L4B product. Corresponding 1 km estimates of the standard error of the mean are also provided in the L4B product. Uncertainty is due to both GEDI's sampling of the 1 km area (as opposed to making wall-to-wall observations) and the fact that L4A biomass values are modeled in a process subject to error instead of measured in a process that may be assumed to be error-free.","container-title":"ORNL DAAC","DOI":"10.3334/ORNLDAAC/2017","language":"en-US","source":"daac.ornl.gov","title":"GEDI L4B Gridded Aboveground Biomass Density, Version 2","URL":"https://daac.ornl.gov/cgi-bin/dsviewer.pl?ds_id=2017","author":[{"family":"Dubayah","given":"R. O."},{"family":"Armston","given":"J."},{"family":"Healey","given":"S. P."},{"family":"Yang","given":"Z."},{"family":"Patterson","given":"P. L."},{"family":"Saarela","given":"S."},{"family":"Stahl","given":"G."},{"family":"Duncanson","given":"L."},{"family":"Kellner","given":"J. R."}],"accessed":{"date-parts":[["2022",11,11]]},"issued":{"date-parts":[["2022",3,29]]}}},{"id":474,"uris":["http://zotero.org/users/9768842/items/WRUDQVY2"],"itemData":{"id":474,"type":"article-journal","abstract":"Two novel satellite LiDAR missions —GEDI and ICESat-2— are currently operational and combined provide near-global measurements of forest height and structure. Such data underpin a new era of large-area approaches for measuring forest height in regrowing forests of different ages and assessing associated regrowth rates. Two LiDAR missions further allow for comparing independently derived forest heights and regrowth rates. This study utilized both GEDI and ICESat-2 measurements to assess regrowth rates in regrowing forests of different ages for the Brazilian state Rondônia. We considered 19 data subgroups stratified by beam strength, light condition, beam sensitivity, and waveform processing algorithm to assess the retrieval uncertainty and identify data subgroups associated with the most reliable regrowth estimates. The quality assessment of GEDI and ICESat-2 forest heights over four 50 km long airborne LiDAR strips determined a root mean square error of 4.14 m (CV = 17%) and 5.91 m (CV = 19%) and a mean error of 0.04 m and −2.81 m, respectively. A linear calibration model between satellite- and airborne-LiDAR heights was then derived for each data subgroup and used to calibrate satellite heights. Forest regrowth rates were subsequently estimated for each satellite mission using a space-for-time imputation with forest heights’ medians per stand age class. The total growth of GEDI and ICESat-2 median forest heights after 33 years was 20.17 m (SE = 1.3 m) and 20.13 m (SE = 2.8 m), respectively. However, when growth was approximated with different non-linear models, the total growth differed by up to 6%, and the average regrowth rate even by up to 23%. The study revealed that omitting either the calibration step or the removal of secondary-forest-border pixels would result in an underestimation of the regrowth rate by more than 20%. Furthermore, the ICESat-2 weak beams were found unreliable for regrowth retrieval. The study showed that the novel satellite LiDAR data and the proposed methods could assess median forest height growth over large areas. However, forest age errors should also be accounted for in the retrieval uncertainty before comparing the growth estimates across different regions. Code and data necessary to reproduce the results are freely available on GitHub and Zenodo.","container-title":"Science of Remote Sensing","DOI":"10.1016/j.srs.2022.100051","ISSN":"2666-0172","journalAbbreviation":"Science of Remote Sensing","language":"en","page":"100051","source":"ScienceDirect","title":"Assessing Amazon rainforest regrowth with GEDI and ICESat-2 data","volume":"5","author":[{"family":"Milenković","given":"Milutin"},{"family":"Reiche","given":"Johannes"},{"family":"Armston","given":"John"},{"family":"Neuenschwander","given":"Amy"},{"family":"De Keersmaecker","given":"Wanda"},{"family":"Herold","given":"Martin"},{"family":"Verbesselt","given":"Jan"}],"issued":{"date-parts":[["2022",6,1]]}}}],"schema":"https://github.com/citation-style-language/schema/raw/master/csl-citation.json"} </w:instrText>
      </w:r>
      <w:r w:rsidR="004D5D61" w:rsidRPr="00E435C0">
        <w:fldChar w:fldCharType="separate"/>
      </w:r>
      <w:r w:rsidR="00CE69AF" w:rsidRPr="00E435C0">
        <w:t>(Dubayah et al., 2021, 2022; Milenković et al., 2022)</w:t>
      </w:r>
      <w:r w:rsidR="004D5D61" w:rsidRPr="00E435C0">
        <w:fldChar w:fldCharType="end"/>
      </w:r>
      <w:r w:rsidR="00785DB7" w:rsidRPr="00E435C0">
        <w:t xml:space="preserve"> </w:t>
      </w:r>
      <w:r w:rsidRPr="00E435C0">
        <w:t>. P</w:t>
      </w:r>
      <w:r w:rsidR="00B26A45" w:rsidRPr="00E435C0">
        <w:t>revious research suggests that Manning's roughness coefficient is related to vegetation inundation fraction, flow velocity, and vegetation properties</w:t>
      </w:r>
      <w:r w:rsidR="00D4722B" w:rsidRPr="00E435C0">
        <w:t xml:space="preserve"> </w:t>
      </w:r>
      <w:r w:rsidR="00D4722B" w:rsidRPr="00E435C0">
        <w:fldChar w:fldCharType="begin"/>
      </w:r>
      <w:r w:rsidR="00C61B04" w:rsidRPr="00E435C0">
        <w:instrText xml:space="preserve"> ADDIN ZOTERO_ITEM CSL_CITATION {"citationID":"B8eRjYCA","properties":{"unsorted":true,"formattedCitation":"(Chow, 1959; Yen, 1992; Rob Ferguson, 2013)","plainCitation":"(Chow, 1959; Yen, 1992; Rob Ferguson, 2013)","noteIndex":0},"citationItems":[{"id":214,"uris":["http://zotero.org/users/9768842/items/Y9UZYWTE"],"itemData":{"id":214,"type":"webpage","title":"Chow, V. T. (1959). Open-channel hydraulics. McGraw-Hill, New York - Google Search","author":[{"family":"Chow","given":"Ven Te"}],"accessed":{"date-parts":[["2022",8,28]]},"issued":{"date-parts":[["1959"]]}}},{"id":436,"uris":["http://zotero.org/users/9768842/items/EY5RJB3Z"],"itemData":{"id":436,"type":"book","ISBN":"978-0-918334-72-5","language":"en","note":"Google-Books-ID: CHq5XTCkyakC","number-of-pages":"466","publisher":"Water Resources Publication","source":"Google Books","title":"Channel Flow Resistance: Centennial of Manning's Formula","title-short":"Channel Flow Resistance","author":[{"family":"Yen","given":"Ben Chie"}],"issued":{"date-parts":[["1992"]]}}},{"id":211,"uris":["http://zotero.org/users/9768842/items/5XYIKVCX"],"itemData":{"id":211,"type":"chapter","container-title":"Treatise on Geomorphology","ISBN":"978-0-08-088522-3","language":"en","note":"DOI: 10.1016/B978-0-12-374739-6.00230-X","page":"50-68","publisher":"Elsevier","source":"DOI.org (Crossref)","title":"9.5 Reach-Scale Flow Resistance","URL":"https://linkinghub.elsevier.com/retrieve/pii/B978012374739600230X","author":[{"family":"Ferguson","given":"Rob"}],"accessed":{"date-parts":[["2022",9,1]]},"issued":{"date-parts":[["2013"]]}}}],"schema":"https://github.com/citation-style-language/schema/raw/master/csl-citation.json"} </w:instrText>
      </w:r>
      <w:r w:rsidR="00D4722B" w:rsidRPr="00E435C0">
        <w:fldChar w:fldCharType="separate"/>
      </w:r>
      <w:r w:rsidR="00C61B04" w:rsidRPr="00E435C0">
        <w:t>(Chow, 1959; Yen, 1992; Rob Ferguson, 2013)</w:t>
      </w:r>
      <w:r w:rsidR="00D4722B" w:rsidRPr="00E435C0">
        <w:fldChar w:fldCharType="end"/>
      </w:r>
      <w:r w:rsidR="00B26A45" w:rsidRPr="00E435C0">
        <w:t>.</w:t>
      </w:r>
      <w:r w:rsidR="00CB54D3" w:rsidRPr="00E435C0">
        <w:t xml:space="preserve"> </w:t>
      </w:r>
      <w:r w:rsidR="00B26A45" w:rsidRPr="00E435C0">
        <w:t xml:space="preserve">A </w:t>
      </w:r>
      <w:r w:rsidRPr="00E435C0">
        <w:t xml:space="preserve">semi-empirical </w:t>
      </w:r>
      <w:r w:rsidR="00351850" w:rsidRPr="00E435C0">
        <w:t>function</w:t>
      </w:r>
      <w:r w:rsidRPr="00E435C0">
        <w:t xml:space="preserve"> of </w:t>
      </w:r>
      <w:r w:rsidRPr="00E435C0">
        <w:rPr>
          <w:i/>
          <w:iCs/>
        </w:rPr>
        <w:t>n</w:t>
      </w:r>
      <w:r w:rsidR="00B26A45" w:rsidRPr="00E435C0">
        <w:t xml:space="preserve"> is formulated</w:t>
      </w:r>
      <w:r w:rsidRPr="00E435C0">
        <w:t>, based on prior models,</w:t>
      </w:r>
      <w:r w:rsidR="00B26A45" w:rsidRPr="00E435C0">
        <w:t xml:space="preserve"> </w:t>
      </w:r>
      <w:r w:rsidRPr="00E435C0">
        <w:t>that</w:t>
      </w:r>
      <w:r w:rsidR="00B26A45" w:rsidRPr="00E435C0">
        <w:t xml:space="preserve"> incorporate</w:t>
      </w:r>
      <w:r w:rsidRPr="00E435C0">
        <w:t>s</w:t>
      </w:r>
      <w:r w:rsidR="00B26A45" w:rsidRPr="00E435C0">
        <w:t xml:space="preserve"> GEDI-derived vegetation properties. </w:t>
      </w:r>
      <w:r w:rsidR="00351850" w:rsidRPr="00E435C0">
        <w:t xml:space="preserve">The function </w:t>
      </w:r>
      <w:r w:rsidR="00B26A45" w:rsidRPr="00E435C0">
        <w:t xml:space="preserve">parameters are determined by fitting a linearized equation to values of Manning's roughness coefficient, flow velocity, and aboveground biomass at USGS sites. </w:t>
      </w:r>
      <w:r w:rsidR="00581F27" w:rsidRPr="00E435C0">
        <w:t xml:space="preserve">For </w:t>
      </w:r>
      <w:r w:rsidR="00944202" w:rsidRPr="00E435C0">
        <w:t>a</w:t>
      </w:r>
      <w:r w:rsidR="00581F27" w:rsidRPr="00E435C0">
        <w:t xml:space="preserve"> </w:t>
      </w:r>
      <w:r w:rsidR="00091C06" w:rsidRPr="00E435C0">
        <w:t xml:space="preserve">detailed </w:t>
      </w:r>
      <w:r w:rsidR="00581F27" w:rsidRPr="00E435C0">
        <w:t xml:space="preserve">explanation </w:t>
      </w:r>
      <w:r w:rsidR="00E516AD" w:rsidRPr="00E435C0">
        <w:t>of</w:t>
      </w:r>
      <w:r w:rsidR="00581F27" w:rsidRPr="00E435C0">
        <w:t xml:space="preserve"> the methodology please refer to the</w:t>
      </w:r>
      <w:r w:rsidR="004C570C" w:rsidRPr="00E435C0">
        <w:t xml:space="preserve"> Extended Methodology section </w:t>
      </w:r>
      <w:r w:rsidR="00504D26" w:rsidRPr="00E435C0">
        <w:t xml:space="preserve">S1 </w:t>
      </w:r>
      <w:r w:rsidR="004C570C" w:rsidRPr="00E435C0">
        <w:t>in the</w:t>
      </w:r>
      <w:r w:rsidR="00581F27" w:rsidRPr="00E435C0">
        <w:t xml:space="preserve"> supplementary information document</w:t>
      </w:r>
      <w:r w:rsidR="004C570C" w:rsidRPr="00E435C0">
        <w:t>.</w:t>
      </w:r>
    </w:p>
    <w:p w14:paraId="4A2B2DB6" w14:textId="67FA14A8" w:rsidR="00F2640F" w:rsidRPr="00E435C0" w:rsidRDefault="00F2640F" w:rsidP="00F2640F">
      <w:pPr>
        <w:pStyle w:val="Abstract"/>
        <w:spacing w:line="480" w:lineRule="auto"/>
        <w:ind w:firstLine="708"/>
        <w:rPr>
          <w:noProof/>
        </w:rPr>
      </w:pPr>
      <w:r w:rsidRPr="00E435C0">
        <w:rPr>
          <w:noProof/>
        </w:rPr>
        <w:t xml:space="preserve">To assess the performance of our newly developed function, we conducted a cross-validation analysis, which involved the application of Manning's equation to compute floodplain flow during observed overbank events. This process utilized the same measurements acquired by the USGS, along with Manning's n values estimated through a five-fold cross-validation approach (detailed in the Supplementary Information). Importantly, the Manning's </w:t>
      </w:r>
      <w:r w:rsidRPr="00E435C0">
        <w:rPr>
          <w:i/>
          <w:iCs/>
          <w:noProof/>
        </w:rPr>
        <w:t>n</w:t>
      </w:r>
      <w:r w:rsidRPr="00E435C0">
        <w:rPr>
          <w:noProof/>
        </w:rPr>
        <w:t xml:space="preserve"> values used for fitting our function were distinct from those employed to validate discharge calculations at these sites.</w:t>
      </w:r>
    </w:p>
    <w:p w14:paraId="62877C7A" w14:textId="2C9AE4DA" w:rsidR="002B78E0" w:rsidRPr="00E435C0" w:rsidRDefault="00F2640F" w:rsidP="00B36361">
      <w:pPr>
        <w:pStyle w:val="Abstract"/>
        <w:spacing w:line="480" w:lineRule="auto"/>
        <w:ind w:firstLine="708"/>
        <w:rPr>
          <w:noProof/>
        </w:rPr>
      </w:pPr>
      <w:r w:rsidRPr="00E435C0">
        <w:rPr>
          <w:noProof/>
        </w:rPr>
        <w:t xml:space="preserve">To comprehensively evaluate our method, we compared the results not only against the directly measured discharge but also against discharges calculated using estimated roughness coefficients from other studies. These alternative approaches include the Geospatial Stream Flow Model (GeoSFM) proposed by </w:t>
      </w:r>
      <w:r w:rsidR="00043369" w:rsidRPr="00E435C0">
        <w:rPr>
          <w:noProof/>
        </w:rPr>
        <w:fldChar w:fldCharType="begin"/>
      </w:r>
      <w:r w:rsidR="00043369" w:rsidRPr="00E435C0">
        <w:rPr>
          <w:noProof/>
        </w:rPr>
        <w:instrText xml:space="preserve"> ADDIN ZOTERO_ITEM CSL_CITATION {"citationID":"940fR9V5","properties":{"formattedCitation":"(Asante et al., 2008)","plainCitation":"(Asante et al., 2008)","noteIndex":0},"citationItems":[{"id":802,"uris":["http://zotero.org/users/9768842/items/NFEX7XGG"],"itemData":{"id":802,"type":"article-journal","container-title":"World Wide Web","page":"594–6151","source":"Google Scholar","title":"Technical manual for the geospatial stream flow model (GeoSFM)","volume":"605","author":[{"family":"Asante","given":"Kwabena O."},{"family":"Artan","given":"Guleid A."},{"family":"Pervez","given":"Shahriar"},{"family":"Bandaragoda","given":"Christina"},{"family":"Verdin","given":"James P."}],"issued":{"date-parts":[["2008"]]}}}],"schema":"https://github.com/citation-style-language/schema/raw/master/csl-citation.json"} </w:instrText>
      </w:r>
      <w:r w:rsidR="00043369" w:rsidRPr="00E435C0">
        <w:rPr>
          <w:noProof/>
        </w:rPr>
        <w:fldChar w:fldCharType="separate"/>
      </w:r>
      <w:r w:rsidR="004204D3" w:rsidRPr="00E435C0">
        <w:t>(Asante et al., 2008)</w:t>
      </w:r>
      <w:r w:rsidR="00043369" w:rsidRPr="00E435C0">
        <w:rPr>
          <w:noProof/>
        </w:rPr>
        <w:fldChar w:fldCharType="end"/>
      </w:r>
      <w:r w:rsidRPr="00E435C0">
        <w:rPr>
          <w:noProof/>
        </w:rPr>
        <w:t xml:space="preserve">, which parameterizes Manning's n values for different land cover classes for use in a distributed hydrologic model. </w:t>
      </w:r>
      <w:r w:rsidR="00B36361" w:rsidRPr="00E435C0">
        <w:rPr>
          <w:noProof/>
        </w:rPr>
        <w:t xml:space="preserve">This model integrates geospatial and time-series data in near-real time, generating daily forcing evapotranspiration and precipitation data from various remote sensing and ground-based sources. GeoSFM employs widely available terrain, soil, and land cover datasets for initial model setup and parameter </w:t>
      </w:r>
      <w:r w:rsidR="00B36361" w:rsidRPr="00E435C0">
        <w:rPr>
          <w:noProof/>
        </w:rPr>
        <w:lastRenderedPageBreak/>
        <w:t>estimation, making it adaptable for data-scarce environments. The model performs geospatial preprocessing and postprocessing tasks and hydrologic modeling within an ArcView GIS environment, offering seamless integration of GIS routines and time series processing. It identifies and maps wide-area streamflow anomalies, disseminating daily results, including streamflow and soil water maps, through various channels (Internet map servers, flood hazard bulletins, and more).</w:t>
      </w:r>
    </w:p>
    <w:p w14:paraId="1D69D613" w14:textId="482F1AFB" w:rsidR="00F2640F" w:rsidRPr="00E435C0" w:rsidRDefault="00F2640F" w:rsidP="00F2640F">
      <w:pPr>
        <w:pStyle w:val="Abstract"/>
        <w:spacing w:line="480" w:lineRule="auto"/>
        <w:ind w:firstLine="708"/>
        <w:rPr>
          <w:noProof/>
        </w:rPr>
      </w:pPr>
      <w:r w:rsidRPr="00E435C0">
        <w:rPr>
          <w:noProof/>
        </w:rPr>
        <w:t xml:space="preserve">Additionally, </w:t>
      </w:r>
      <w:r w:rsidR="007059D4" w:rsidRPr="00E435C0">
        <w:rPr>
          <w:noProof/>
        </w:rPr>
        <w:fldChar w:fldCharType="begin"/>
      </w:r>
      <w:r w:rsidR="006714D6" w:rsidRPr="00E435C0">
        <w:rPr>
          <w:noProof/>
        </w:rPr>
        <w:instrText xml:space="preserve"> ADDIN ZOTERO_ITEM CSL_CITATION {"citationID":"jFD6EPNL","properties":{"formattedCitation":"(Kalyanapu et al., 2009)","plainCitation":"(Kalyanapu et al., 2009)","noteIndex":0},"citationItems":[{"id":806,"uris":["http://zotero.org/users/9768842/items/HJUQ4CIX"],"itemData":{"id":806,"type":"article-journal","abstract":"The Manning’s roughness coefficient (n) is commonly used to represent surface roughness in lumped and distributed hydrologic models. Model parameter sensitivity studies identify runoff response to be sensitive to Manning’s n changes. For large watersheds, modelers typically use land use / land cover datasets to assign Manning’s n values based on the use or cover class (e.g., residential, impervious). Although this approach is expected to introduce errors to the simulation results, studies have not adequately assessed the occurrence or magnitude because of the challenge of producing an accurate Manning’s n map to compare to a map produced by the land use / land cover approach. This paper presents a watershed scale assessment of the hydrologic model error incurred by use of land use / land cover datasets to estimate Manning’s n. A digital dataset of Manning’s n is generated by manual inspection of aerial photos for a 23 km2 watershed. Manning’s n is also estimated using the land use classes in the National Land Cover Dataset (NLCD). Up to 50% difference in the magnitude and variation in spatial distribution of Manning’s n values is found in more than 90 % of the study area. The differences did not translate into significantly altered runoff responses (hydrograph magnitude: 9 % to 22 % relative peak discharge difference and shape: 2 % to 18 % relative time to peak difference) from 3 storm events at the watershed outlet for a lumped model (SWMM) and a distributed model. However, these differences are significant (up to 75 % relative peak discharge difference and up to 300 % relative time to peak difference) at the subcatchment levels and showed increasing trend in deviation of the hydrograph peaks with increased Manning’s n deviation. The results of this study suggest that the use of NLCD-defined Manning’s n values is acceptable for medium to large watersheds.","container-title":"Journal of Spatial Hydrology","journalAbbreviation":"Journal of Spatial Hydrology","page":"51-71","source":"ResearchGate","title":"Effect of land use-based surface roughness on hydrologic model output","volume":"9","author":[{"family":"Kalyanapu","given":"Alfred"},{"family":"Burian","given":"Steve"},{"family":"Mcpherson","given":"Timothy"}],"issued":{"date-parts":[["2009",1,1]]}}}],"schema":"https://github.com/citation-style-language/schema/raw/master/csl-citation.json"} </w:instrText>
      </w:r>
      <w:r w:rsidR="007059D4" w:rsidRPr="00E435C0">
        <w:rPr>
          <w:noProof/>
        </w:rPr>
        <w:fldChar w:fldCharType="separate"/>
      </w:r>
      <w:r w:rsidR="004204D3" w:rsidRPr="00E435C0">
        <w:t xml:space="preserve">Kalyanapu et al., </w:t>
      </w:r>
      <w:r w:rsidR="00791642" w:rsidRPr="00E435C0">
        <w:t>(</w:t>
      </w:r>
      <w:r w:rsidR="004204D3" w:rsidRPr="00E435C0">
        <w:t>2009)</w:t>
      </w:r>
      <w:r w:rsidR="007059D4" w:rsidRPr="00E435C0">
        <w:rPr>
          <w:noProof/>
        </w:rPr>
        <w:fldChar w:fldCharType="end"/>
      </w:r>
      <w:r w:rsidR="00651401" w:rsidRPr="00E435C0">
        <w:rPr>
          <w:noProof/>
        </w:rPr>
        <w:t xml:space="preserve"> </w:t>
      </w:r>
      <w:r w:rsidRPr="00E435C0">
        <w:rPr>
          <w:noProof/>
        </w:rPr>
        <w:t>determined Manning's n values by land cover class in a hydrologic modeling study focused on understanding the effects of land cover use on runoff and peak discharge.</w:t>
      </w:r>
      <w:r w:rsidR="007059D4" w:rsidRPr="00E435C0">
        <w:rPr>
          <w:noProof/>
        </w:rPr>
        <w:t xml:space="preserve"> This research assesses the sensitivity of hydrologic models to Manning's </w:t>
      </w:r>
      <w:r w:rsidR="007059D4" w:rsidRPr="00E435C0">
        <w:rPr>
          <w:i/>
          <w:iCs/>
          <w:noProof/>
        </w:rPr>
        <w:t xml:space="preserve">n </w:t>
      </w:r>
      <w:r w:rsidR="007059D4" w:rsidRPr="00E435C0">
        <w:rPr>
          <w:noProof/>
        </w:rPr>
        <w:t xml:space="preserve">changes, a parameter crucial for representing surface roughness. Large watershed models often rely on land use/land cover datasets to assign Manning's n values based on land use or cover classes. While this approach is convenient, it introduces potential errors. Kalyanapu's study compared Manning's n values derived from manual inspection of aerial photos to those estimated using the National Land Cover Dataset </w:t>
      </w:r>
      <w:r w:rsidR="00D15E8D" w:rsidRPr="00E435C0">
        <w:rPr>
          <w:noProof/>
        </w:rPr>
        <w:fldChar w:fldCharType="begin"/>
      </w:r>
      <w:r w:rsidR="00D15E8D" w:rsidRPr="00E435C0">
        <w:rPr>
          <w:noProof/>
        </w:rPr>
        <w:instrText xml:space="preserve"> ADDIN ZOTERO_ITEM CSL_CITATION {"citationID":"xC9wMGxG","properties":{"formattedCitation":"(Homer et al., 2012)","plainCitation":"(Homer et al., 2012)","noteIndex":0},"citationItems":[{"id":962,"uris":["http://zotero.org/users/9768842/items/MJ82Z3Y6"],"itemData":{"id":962,"type":"article-journal","container-title":"US geological survey fact sheet","issue":"4","note":"publisher: US Geological Survey Reston, VA","page":"1–4","source":"Google Scholar","title":"The national land cover database","volume":"3020","author":[{"family":"Homer","given":"Collin H."},{"family":"Fry","given":"Joyce A."},{"family":"Barnes","given":"Christopher A."}],"issued":{"date-parts":[["2012"]]}}}],"schema":"https://github.com/citation-style-language/schema/raw/master/csl-citation.json"} </w:instrText>
      </w:r>
      <w:r w:rsidR="00D15E8D" w:rsidRPr="00E435C0">
        <w:rPr>
          <w:noProof/>
        </w:rPr>
        <w:fldChar w:fldCharType="separate"/>
      </w:r>
      <w:r w:rsidR="00D15E8D" w:rsidRPr="00E435C0">
        <w:t>(Homer et al., 2012)</w:t>
      </w:r>
      <w:r w:rsidR="00D15E8D" w:rsidRPr="00E435C0">
        <w:rPr>
          <w:noProof/>
        </w:rPr>
        <w:fldChar w:fldCharType="end"/>
      </w:r>
      <w:r w:rsidR="007059D4" w:rsidRPr="00E435C0">
        <w:rPr>
          <w:noProof/>
        </w:rPr>
        <w:t xml:space="preserve">. The results revealed significant differences in the magnitude and spatial distribution of Manning's n values, particularly at subcatchment levels. These differences, while not significantly altering runoff responses at the watershed outlet for large-scale models, became pronounced with increasing Manning's </w:t>
      </w:r>
      <w:r w:rsidR="007059D4" w:rsidRPr="00E435C0">
        <w:rPr>
          <w:i/>
          <w:iCs/>
          <w:noProof/>
        </w:rPr>
        <w:t>n</w:t>
      </w:r>
      <w:r w:rsidR="007059D4" w:rsidRPr="00E435C0">
        <w:rPr>
          <w:noProof/>
        </w:rPr>
        <w:t xml:space="preserve"> deviation.</w:t>
      </w:r>
    </w:p>
    <w:p w14:paraId="270FDAF2" w14:textId="1B465EBE" w:rsidR="00F2640F" w:rsidRPr="00E435C0" w:rsidRDefault="00F2640F" w:rsidP="00F2640F">
      <w:pPr>
        <w:pStyle w:val="Abstract"/>
        <w:spacing w:line="480" w:lineRule="auto"/>
        <w:ind w:firstLine="708"/>
        <w:rPr>
          <w:noProof/>
        </w:rPr>
      </w:pPr>
      <w:r w:rsidRPr="00E435C0">
        <w:rPr>
          <w:noProof/>
        </w:rPr>
        <w:t xml:space="preserve">To ensure a fair and consistent comparison, we standardized our analysis using the International Geosphere-Biosphere Programme (IGBP) land cover classification </w:t>
      </w:r>
      <w:r w:rsidR="00635827" w:rsidRPr="00E435C0">
        <w:rPr>
          <w:noProof/>
        </w:rPr>
        <w:fldChar w:fldCharType="begin"/>
      </w:r>
      <w:r w:rsidR="00635827" w:rsidRPr="00E435C0">
        <w:rPr>
          <w:noProof/>
        </w:rPr>
        <w:instrText xml:space="preserve"> ADDIN ZOTERO_ITEM CSL_CITATION {"citationID":"MbchlylB","properties":{"formattedCitation":"(Loveland et al., 1999)","plainCitation":"(Loveland et al., 1999)","noteIndex":0},"citationItems":[{"id":809,"uris":["http://zotero.org/users/9768842/items/NTQZK5Z5"],"itemData":{"id":809,"type":"article-journal","container-title":"Photogrammetric engineering and remote sensing","note":"publisher: ASPRS AMERICAN SOCIETY FOR PHOTOGRAMMETRY AND","page":"1021–1032","source":"Google Scholar","title":"An analysis of the IGBP global land-cover characterization process","volume":"65","author":[{"family":"Loveland","given":"Thomas R."},{"family":"Zhu","given":"Zhiliang"},{"family":"Ohlen","given":"Donald O."},{"family":"Brown","given":"Jessyln F."},{"family":"Reed","given":"Bradley C."},{"family":"Yang","given":"Limin"}],"issued":{"date-parts":[["1999"]]}}}],"schema":"https://github.com/citation-style-language/schema/raw/master/csl-citation.json"} </w:instrText>
      </w:r>
      <w:r w:rsidR="00635827" w:rsidRPr="00E435C0">
        <w:rPr>
          <w:noProof/>
        </w:rPr>
        <w:fldChar w:fldCharType="separate"/>
      </w:r>
      <w:r w:rsidR="00635827" w:rsidRPr="00E435C0">
        <w:t>(Loveland et al., 1999)</w:t>
      </w:r>
      <w:r w:rsidR="00635827" w:rsidRPr="00E435C0">
        <w:rPr>
          <w:noProof/>
        </w:rPr>
        <w:fldChar w:fldCharType="end"/>
      </w:r>
      <w:r w:rsidRPr="00E435C0">
        <w:rPr>
          <w:noProof/>
        </w:rPr>
        <w:t>. Within this framework, we calculated the median velocity and median flow depth for each land cover class and subsequently derived the Manning's n value using our model.</w:t>
      </w:r>
      <w:r w:rsidR="009D3E4A" w:rsidRPr="00E435C0">
        <w:rPr>
          <w:noProof/>
        </w:rPr>
        <w:t xml:space="preserve"> </w:t>
      </w:r>
      <w:r w:rsidRPr="00E435C0">
        <w:rPr>
          <w:noProof/>
        </w:rPr>
        <w:t xml:space="preserve">This approach allowed us to assess the performance of our function in relation to established methodologies and </w:t>
      </w:r>
      <w:r w:rsidRPr="00E435C0">
        <w:rPr>
          <w:noProof/>
        </w:rPr>
        <w:lastRenderedPageBreak/>
        <w:t>gain valuable insights into its efficacy in estimating floodplain roughness.</w:t>
      </w:r>
      <w:r w:rsidR="004815F2" w:rsidRPr="00E435C0">
        <w:rPr>
          <w:noProof/>
        </w:rPr>
        <w:t xml:space="preserve"> We use medians instead of raw values to address the potential bias introduced by the inherent relationship between velocity and roughness, allowing for a fairer comparison against methodologies that do not consider velocity during the selection process.</w:t>
      </w:r>
    </w:p>
    <w:p w14:paraId="56A74199" w14:textId="77777777" w:rsidR="00007016" w:rsidRPr="00E435C0" w:rsidRDefault="00007016" w:rsidP="00C62A72">
      <w:pPr>
        <w:pStyle w:val="Abstract"/>
        <w:spacing w:line="480" w:lineRule="auto"/>
      </w:pPr>
    </w:p>
    <w:p w14:paraId="6888E72E" w14:textId="68C186C2" w:rsidR="002F3B11" w:rsidRPr="00E435C0" w:rsidRDefault="002F3B11" w:rsidP="00E42C6D">
      <w:pPr>
        <w:pStyle w:val="Heading-Main"/>
        <w:spacing w:line="480" w:lineRule="auto"/>
      </w:pPr>
      <w:r w:rsidRPr="00E435C0">
        <w:t xml:space="preserve">3 </w:t>
      </w:r>
      <w:r w:rsidR="006A6BDE" w:rsidRPr="00E435C0">
        <w:t>Results</w:t>
      </w:r>
    </w:p>
    <w:p w14:paraId="16E3162A" w14:textId="52D21C1B" w:rsidR="006A6BDE" w:rsidRPr="00E435C0" w:rsidRDefault="006A6BDE" w:rsidP="00E42C6D">
      <w:pPr>
        <w:pStyle w:val="Abstract"/>
        <w:spacing w:line="480" w:lineRule="auto"/>
        <w:ind w:firstLine="708"/>
      </w:pPr>
      <w:r w:rsidRPr="00E435C0">
        <w:t>After data processing and quality control, a total of 4</w:t>
      </w:r>
      <w:r w:rsidR="003643DD" w:rsidRPr="00E435C0">
        <w:t>,</w:t>
      </w:r>
      <w:r w:rsidR="00EE7D0E" w:rsidRPr="00E435C0">
        <w:t>927</w:t>
      </w:r>
      <w:r w:rsidRPr="00E435C0">
        <w:t xml:space="preserve"> estimates of </w:t>
      </w:r>
      <w:r w:rsidR="007378DE" w:rsidRPr="00E435C0">
        <w:t xml:space="preserve">floodplain </w:t>
      </w:r>
      <w:r w:rsidRPr="00E435C0">
        <w:t xml:space="preserve">Manning’s </w:t>
      </w:r>
      <w:r w:rsidRPr="00E435C0">
        <w:rPr>
          <w:i/>
          <w:iCs/>
        </w:rPr>
        <w:t xml:space="preserve">n </w:t>
      </w:r>
      <w:r w:rsidRPr="00E435C0">
        <w:t xml:space="preserve">were calculated successfully at </w:t>
      </w:r>
      <w:r w:rsidR="001C74EF" w:rsidRPr="00E435C0">
        <w:t>80</w:t>
      </w:r>
      <w:r w:rsidR="00EE7D0E" w:rsidRPr="00E435C0">
        <w:t>4</w:t>
      </w:r>
      <w:r w:rsidRPr="00E435C0">
        <w:t xml:space="preserve"> </w:t>
      </w:r>
      <w:r w:rsidR="003643DD" w:rsidRPr="00E435C0">
        <w:t>sites</w:t>
      </w:r>
      <w:r w:rsidR="00320717" w:rsidRPr="00E435C0">
        <w:t>,</w:t>
      </w:r>
      <w:r w:rsidR="008C7157" w:rsidRPr="00E435C0">
        <w:t xml:space="preserve"> based on the analysis of </w:t>
      </w:r>
      <w:r w:rsidR="00FD4B7B" w:rsidRPr="00E435C0">
        <w:t xml:space="preserve">3,379,166 </w:t>
      </w:r>
      <w:r w:rsidR="008C7157" w:rsidRPr="00E435C0">
        <w:t xml:space="preserve">total </w:t>
      </w:r>
      <w:r w:rsidR="0010699B" w:rsidRPr="00E435C0">
        <w:t xml:space="preserve">measurements </w:t>
      </w:r>
      <w:r w:rsidR="003643DD" w:rsidRPr="00E435C0">
        <w:t>obtained from</w:t>
      </w:r>
      <w:r w:rsidR="0010699B" w:rsidRPr="00E435C0">
        <w:t xml:space="preserve"> 31,142 </w:t>
      </w:r>
      <w:r w:rsidR="003643DD" w:rsidRPr="00E435C0">
        <w:t xml:space="preserve">unique gauge </w:t>
      </w:r>
      <w:r w:rsidR="0010699B" w:rsidRPr="00E435C0">
        <w:t>sites</w:t>
      </w:r>
      <w:r w:rsidR="004204D3" w:rsidRPr="00E435C0">
        <w:t xml:space="preserve"> </w:t>
      </w:r>
      <w:r w:rsidR="004204D3" w:rsidRPr="00E435C0">
        <w:fldChar w:fldCharType="begin"/>
      </w:r>
      <w:r w:rsidR="007358AF" w:rsidRPr="00E435C0">
        <w:instrText xml:space="preserve"> ADDIN ZOTERO_ITEM CSL_CITATION {"citationID":"TKuRX9u7","properties":{"formattedCitation":"(Barinas et al., 2023)","plainCitation":"(Barinas et al., 2023)","noteIndex":0},"citationItems":[{"id":965,"uris":["http://zotero.org/users/9768842/items/KLL2SJ3F"],"itemData":{"id":965,"type":"dataset","publisher":"CUAHSI HydroShare","title":"Dataset and Supporting Information for Barinas et. al. Floodplain Roughness Study","URL":"https://doi.org/10.4211/hs.8c5b71cf3a7449b0b94c447a3e87e63f","author":[{"family":"Barinas","given":"Gabriel"},{"family":"Good","given":"Stephen"},{"family":"Tullos","given":"Desiree"}],"accessed":{"date-parts":[["2023",10,11]]},"issued":{"date-parts":[["2023"]]}}}],"schema":"https://github.com/citation-style-language/schema/raw/master/csl-citation.json"} </w:instrText>
      </w:r>
      <w:r w:rsidR="004204D3" w:rsidRPr="00E435C0">
        <w:fldChar w:fldCharType="separate"/>
      </w:r>
      <w:r w:rsidR="007358AF" w:rsidRPr="00E435C0">
        <w:t>(Barinas et al., 2023)</w:t>
      </w:r>
      <w:r w:rsidR="004204D3" w:rsidRPr="00E435C0">
        <w:fldChar w:fldCharType="end"/>
      </w:r>
      <w:r w:rsidRPr="00E435C0">
        <w:t xml:space="preserve">. Included with this dataset of generated </w:t>
      </w:r>
      <w:r w:rsidRPr="00E435C0">
        <w:rPr>
          <w:i/>
          <w:iCs/>
        </w:rPr>
        <w:t>n</w:t>
      </w:r>
      <w:r w:rsidRPr="00E435C0">
        <w:t xml:space="preserve"> values (see </w:t>
      </w:r>
      <w:r w:rsidR="00836CB1" w:rsidRPr="00E435C0">
        <w:t xml:space="preserve">dataset in </w:t>
      </w:r>
      <w:r w:rsidR="00091C06" w:rsidRPr="00E435C0">
        <w:t>Supporting Information</w:t>
      </w:r>
      <w:r w:rsidRPr="00E435C0">
        <w:t>) are all the necessary variables</w:t>
      </w:r>
      <w:r w:rsidR="00320717" w:rsidRPr="00E435C0">
        <w:t xml:space="preserve"> measured by the USGS that were</w:t>
      </w:r>
      <w:r w:rsidRPr="00E435C0">
        <w:t xml:space="preserve"> used when inverting Manning’s equation to solve for </w:t>
      </w:r>
      <w:r w:rsidRPr="00E435C0">
        <w:rPr>
          <w:i/>
          <w:iCs/>
        </w:rPr>
        <w:t>n</w:t>
      </w:r>
      <w:r w:rsidRPr="00E435C0">
        <w:t>: measured discharge</w:t>
      </w:r>
      <w:r w:rsidR="00A75AC3" w:rsidRPr="00E435C0">
        <w:t xml:space="preserve"> (</w:t>
      </w:r>
      <w:r w:rsidR="00D83DAC" w:rsidRPr="00E435C0">
        <w:rPr>
          <w:i/>
          <w:iCs/>
        </w:rPr>
        <w:t>Q</w:t>
      </w:r>
      <w:r w:rsidR="00A75AC3" w:rsidRPr="00E435C0">
        <w:t>)</w:t>
      </w:r>
      <w:r w:rsidRPr="00E435C0">
        <w:t>, width</w:t>
      </w:r>
      <w:r w:rsidR="00A75AC3" w:rsidRPr="00E435C0">
        <w:t xml:space="preserve"> (</w:t>
      </w:r>
      <w:r w:rsidR="00A75AC3" w:rsidRPr="00E435C0">
        <w:rPr>
          <w:i/>
          <w:iCs/>
        </w:rPr>
        <w:t>w</w:t>
      </w:r>
      <w:r w:rsidR="00A75AC3" w:rsidRPr="00E435C0">
        <w:t>)</w:t>
      </w:r>
      <w:r w:rsidRPr="00E435C0">
        <w:t>, depth</w:t>
      </w:r>
      <w:r w:rsidR="00A75AC3" w:rsidRPr="00E435C0">
        <w:t xml:space="preserve"> (</w:t>
      </w:r>
      <w:r w:rsidR="00A75AC3" w:rsidRPr="00E435C0">
        <w:rPr>
          <w:i/>
          <w:iCs/>
        </w:rPr>
        <w:t>z</w:t>
      </w:r>
      <w:r w:rsidR="00A75AC3" w:rsidRPr="00E435C0">
        <w:t>)</w:t>
      </w:r>
      <w:r w:rsidR="00FC1C48" w:rsidRPr="00E435C0">
        <w:t xml:space="preserve"> obtained from USGS field measurements</w:t>
      </w:r>
      <w:r w:rsidRPr="00E435C0">
        <w:t xml:space="preserve">, and </w:t>
      </w:r>
      <w:r w:rsidR="00BD2E5F" w:rsidRPr="00E435C0">
        <w:t xml:space="preserve">friction </w:t>
      </w:r>
      <w:r w:rsidRPr="00E435C0">
        <w:t>slope</w:t>
      </w:r>
      <w:r w:rsidR="0010055D" w:rsidRPr="00E435C0">
        <w:t xml:space="preserve"> (</w:t>
      </w:r>
      <w:r w:rsidR="0010055D" w:rsidRPr="00E435C0">
        <w:rPr>
          <w:i/>
          <w:iCs/>
        </w:rPr>
        <w:t>S</w:t>
      </w:r>
      <w:r w:rsidR="0010055D" w:rsidRPr="00E435C0">
        <w:t>) from the NHD datasets</w:t>
      </w:r>
      <w:r w:rsidRPr="00E435C0">
        <w:t>. Intermediate variables are also included</w:t>
      </w:r>
      <w:r w:rsidR="00A641E9" w:rsidRPr="00E435C0">
        <w:t xml:space="preserve"> in this dataset</w:t>
      </w:r>
      <w:r w:rsidRPr="00E435C0">
        <w:t xml:space="preserve">: discharge, </w:t>
      </w:r>
      <w:r w:rsidR="00441DDF" w:rsidRPr="00E435C0">
        <w:t xml:space="preserve">velocity, </w:t>
      </w:r>
      <w:r w:rsidRPr="00E435C0">
        <w:t>width, and depth, for both the main channel</w:t>
      </w:r>
      <w:r w:rsidR="00935620" w:rsidRPr="00E435C0">
        <w:t xml:space="preserve"> (</w:t>
      </w:r>
      <m:oMath>
        <m:sSub>
          <m:sSubPr>
            <m:ctrlPr>
              <w:rPr>
                <w:rFonts w:ascii="Cambria Math" w:hAnsi="Cambria Math"/>
                <w:sz w:val="22"/>
                <w:szCs w:val="22"/>
              </w:rPr>
            </m:ctrlPr>
          </m:sSubPr>
          <m:e>
            <m:r>
              <w:rPr>
                <w:rFonts w:ascii="Cambria Math" w:hAnsi="Cambria Math"/>
                <w:sz w:val="22"/>
                <w:szCs w:val="22"/>
              </w:rPr>
              <m:t>Q</m:t>
            </m:r>
          </m:e>
          <m:sub>
            <m:r>
              <w:rPr>
                <w:rFonts w:ascii="Cambria Math" w:hAnsi="Cambria Math"/>
                <w:sz w:val="22"/>
                <w:szCs w:val="22"/>
              </w:rPr>
              <m:t>mc</m:t>
            </m:r>
          </m:sub>
        </m:sSub>
      </m:oMath>
      <w:r w:rsidR="00F938B7" w:rsidRPr="00E435C0">
        <w:rPr>
          <w:sz w:val="22"/>
          <w:szCs w:val="22"/>
        </w:rPr>
        <w:t>,</w:t>
      </w:r>
      <w:r w:rsidR="00441DDF" w:rsidRPr="00E435C0">
        <w:rPr>
          <w:sz w:val="22"/>
          <w:szCs w:val="22"/>
        </w:rPr>
        <w:t xml:space="preserve"> </w:t>
      </w:r>
      <w:proofErr w:type="spellStart"/>
      <w:r w:rsidR="00441DDF" w:rsidRPr="00E435C0">
        <w:rPr>
          <w:i/>
          <w:iCs/>
          <w:sz w:val="22"/>
          <w:szCs w:val="22"/>
        </w:rPr>
        <w:t>V</w:t>
      </w:r>
      <w:r w:rsidR="00441DDF" w:rsidRPr="00E435C0">
        <w:rPr>
          <w:i/>
          <w:iCs/>
          <w:sz w:val="22"/>
          <w:szCs w:val="22"/>
          <w:vertAlign w:val="subscript"/>
        </w:rPr>
        <w:t>mc</w:t>
      </w:r>
      <w:proofErr w:type="spellEnd"/>
      <w:r w:rsidR="00441DDF" w:rsidRPr="00E435C0">
        <w:rPr>
          <w:i/>
          <w:iCs/>
          <w:sz w:val="22"/>
          <w:szCs w:val="22"/>
        </w:rPr>
        <w:t>,</w:t>
      </w:r>
      <w:r w:rsidR="00F938B7" w:rsidRPr="00E435C0">
        <w:rPr>
          <w:sz w:val="22"/>
          <w:szCs w:val="22"/>
        </w:rPr>
        <w:t xml:space="preserve"> </w:t>
      </w:r>
      <m:oMath>
        <m:sSub>
          <m:sSubPr>
            <m:ctrlPr>
              <w:rPr>
                <w:rFonts w:ascii="Cambria Math" w:hAnsi="Cambria Math"/>
                <w:sz w:val="22"/>
                <w:szCs w:val="22"/>
              </w:rPr>
            </m:ctrlPr>
          </m:sSubPr>
          <m:e>
            <m:r>
              <w:rPr>
                <w:rFonts w:ascii="Cambria Math" w:hAnsi="Cambria Math"/>
                <w:sz w:val="22"/>
                <w:szCs w:val="22"/>
              </w:rPr>
              <m:t>w</m:t>
            </m:r>
          </m:e>
          <m:sub>
            <m:r>
              <w:rPr>
                <w:rFonts w:ascii="Cambria Math" w:hAnsi="Cambria Math"/>
                <w:sz w:val="22"/>
                <w:szCs w:val="22"/>
              </w:rPr>
              <m:t>mc</m:t>
            </m:r>
          </m:sub>
        </m:sSub>
      </m:oMath>
      <w:r w:rsidR="00F938B7" w:rsidRPr="00E435C0">
        <w:rPr>
          <w:sz w:val="22"/>
          <w:szCs w:val="22"/>
        </w:rPr>
        <w:t xml:space="preserve">, </w:t>
      </w:r>
      <m:oMath>
        <m:sSub>
          <m:sSubPr>
            <m:ctrlPr>
              <w:rPr>
                <w:rFonts w:ascii="Cambria Math" w:hAnsi="Cambria Math"/>
                <w:sz w:val="22"/>
                <w:szCs w:val="22"/>
              </w:rPr>
            </m:ctrlPr>
          </m:sSubPr>
          <m:e>
            <m:r>
              <w:rPr>
                <w:rFonts w:ascii="Cambria Math" w:hAnsi="Cambria Math"/>
                <w:sz w:val="22"/>
                <w:szCs w:val="22"/>
              </w:rPr>
              <m:t>z</m:t>
            </m:r>
          </m:e>
          <m:sub>
            <m:r>
              <w:rPr>
                <w:rFonts w:ascii="Cambria Math" w:hAnsi="Cambria Math"/>
                <w:sz w:val="22"/>
                <w:szCs w:val="22"/>
              </w:rPr>
              <m:t>mc</m:t>
            </m:r>
          </m:sub>
        </m:sSub>
      </m:oMath>
      <w:r w:rsidR="00F938B7" w:rsidRPr="00E435C0">
        <w:rPr>
          <w:sz w:val="22"/>
          <w:szCs w:val="22"/>
        </w:rPr>
        <w:t>)</w:t>
      </w:r>
      <w:r w:rsidRPr="00E435C0">
        <w:t xml:space="preserve"> and the floodplain</w:t>
      </w:r>
      <w:r w:rsidR="00F31209" w:rsidRPr="00E435C0">
        <w:t xml:space="preserve"> (</w:t>
      </w:r>
      <m:oMath>
        <m:sSub>
          <m:sSubPr>
            <m:ctrlPr>
              <w:rPr>
                <w:rFonts w:ascii="Cambria Math" w:hAnsi="Cambria Math"/>
                <w:sz w:val="22"/>
                <w:szCs w:val="22"/>
              </w:rPr>
            </m:ctrlPr>
          </m:sSubPr>
          <m:e>
            <m:r>
              <w:rPr>
                <w:rFonts w:ascii="Cambria Math" w:hAnsi="Cambria Math"/>
                <w:sz w:val="22"/>
                <w:szCs w:val="22"/>
              </w:rPr>
              <m:t>Q</m:t>
            </m:r>
          </m:e>
          <m:sub>
            <m:r>
              <w:rPr>
                <w:rFonts w:ascii="Cambria Math" w:hAnsi="Cambria Math"/>
                <w:sz w:val="22"/>
                <w:szCs w:val="22"/>
              </w:rPr>
              <m:t>fp</m:t>
            </m:r>
          </m:sub>
        </m:sSub>
      </m:oMath>
      <w:r w:rsidR="00911BAB" w:rsidRPr="00E435C0">
        <w:rPr>
          <w:sz w:val="22"/>
          <w:szCs w:val="22"/>
        </w:rPr>
        <w:t>,</w:t>
      </w:r>
      <w:r w:rsidR="00441DDF" w:rsidRPr="00E435C0">
        <w:rPr>
          <w:sz w:val="22"/>
          <w:szCs w:val="22"/>
        </w:rPr>
        <w:t xml:space="preserve"> </w:t>
      </w:r>
      <w:proofErr w:type="spellStart"/>
      <w:r w:rsidR="00441DDF" w:rsidRPr="00E435C0">
        <w:rPr>
          <w:i/>
          <w:iCs/>
          <w:sz w:val="22"/>
          <w:szCs w:val="22"/>
        </w:rPr>
        <w:t>V</w:t>
      </w:r>
      <w:r w:rsidR="00441DDF" w:rsidRPr="00E435C0">
        <w:rPr>
          <w:i/>
          <w:iCs/>
          <w:sz w:val="22"/>
          <w:szCs w:val="22"/>
          <w:vertAlign w:val="subscript"/>
        </w:rPr>
        <w:t>fp</w:t>
      </w:r>
      <w:proofErr w:type="spellEnd"/>
      <w:r w:rsidR="00441DDF" w:rsidRPr="00E435C0">
        <w:rPr>
          <w:i/>
          <w:iCs/>
          <w:sz w:val="22"/>
          <w:szCs w:val="22"/>
        </w:rPr>
        <w:t>,</w:t>
      </w:r>
      <w:r w:rsidR="00441DDF" w:rsidRPr="00E435C0">
        <w:rPr>
          <w:sz w:val="22"/>
          <w:szCs w:val="22"/>
        </w:rPr>
        <w:t xml:space="preserve"> </w:t>
      </w:r>
      <w:r w:rsidR="00911BAB" w:rsidRPr="00E435C0">
        <w:rPr>
          <w:sz w:val="22"/>
          <w:szCs w:val="22"/>
        </w:rPr>
        <w:t xml:space="preserve"> </w:t>
      </w:r>
      <m:oMath>
        <m:sSub>
          <m:sSubPr>
            <m:ctrlPr>
              <w:rPr>
                <w:rFonts w:ascii="Cambria Math" w:hAnsi="Cambria Math"/>
                <w:sz w:val="22"/>
                <w:szCs w:val="22"/>
              </w:rPr>
            </m:ctrlPr>
          </m:sSubPr>
          <m:e>
            <m:r>
              <w:rPr>
                <w:rFonts w:ascii="Cambria Math" w:hAnsi="Cambria Math"/>
                <w:sz w:val="22"/>
                <w:szCs w:val="22"/>
              </w:rPr>
              <m:t>w</m:t>
            </m:r>
          </m:e>
          <m:sub>
            <m:r>
              <w:rPr>
                <w:rFonts w:ascii="Cambria Math" w:hAnsi="Cambria Math"/>
                <w:sz w:val="22"/>
                <w:szCs w:val="22"/>
              </w:rPr>
              <m:t>fp</m:t>
            </m:r>
          </m:sub>
        </m:sSub>
      </m:oMath>
      <w:r w:rsidR="00911BAB" w:rsidRPr="00E435C0">
        <w:rPr>
          <w:sz w:val="22"/>
          <w:szCs w:val="22"/>
        </w:rPr>
        <w:t xml:space="preserve">, </w:t>
      </w:r>
      <m:oMath>
        <m:sSub>
          <m:sSubPr>
            <m:ctrlPr>
              <w:rPr>
                <w:rFonts w:ascii="Cambria Math" w:hAnsi="Cambria Math"/>
                <w:sz w:val="22"/>
                <w:szCs w:val="22"/>
              </w:rPr>
            </m:ctrlPr>
          </m:sSubPr>
          <m:e>
            <m:r>
              <w:rPr>
                <w:rFonts w:ascii="Cambria Math" w:hAnsi="Cambria Math"/>
                <w:sz w:val="22"/>
                <w:szCs w:val="22"/>
              </w:rPr>
              <m:t>z</m:t>
            </m:r>
          </m:e>
          <m:sub>
            <m:r>
              <w:rPr>
                <w:rFonts w:ascii="Cambria Math" w:hAnsi="Cambria Math"/>
                <w:sz w:val="22"/>
                <w:szCs w:val="22"/>
              </w:rPr>
              <m:t>fp</m:t>
            </m:r>
          </m:sub>
        </m:sSub>
      </m:oMath>
      <w:r w:rsidR="00911BAB" w:rsidRPr="00E435C0">
        <w:rPr>
          <w:sz w:val="22"/>
          <w:szCs w:val="22"/>
        </w:rPr>
        <w:t>)</w:t>
      </w:r>
      <w:r w:rsidRPr="00E435C0">
        <w:t xml:space="preserve">. Complementary information included in the dataset are the USGS site ID, date of measurement, coordinates, and number of </w:t>
      </w:r>
      <w:r w:rsidR="00001C2B" w:rsidRPr="00E435C0">
        <w:t xml:space="preserve">values of </w:t>
      </w:r>
      <w:r w:rsidR="00001C2B" w:rsidRPr="00E435C0">
        <w:rPr>
          <w:i/>
          <w:iCs/>
        </w:rPr>
        <w:t>n</w:t>
      </w:r>
      <w:r w:rsidRPr="00E435C0">
        <w:t xml:space="preserve"> </w:t>
      </w:r>
      <w:r w:rsidR="00001C2B" w:rsidRPr="00E435C0">
        <w:t xml:space="preserve">calculated </w:t>
      </w:r>
      <w:r w:rsidR="00091C06" w:rsidRPr="00E435C0">
        <w:t xml:space="preserve">at </w:t>
      </w:r>
      <w:r w:rsidRPr="00E435C0">
        <w:t>that site.</w:t>
      </w:r>
    </w:p>
    <w:p w14:paraId="758F8BC8" w14:textId="618CAF73" w:rsidR="00C6277C" w:rsidRPr="00E435C0" w:rsidRDefault="006A6BDE" w:rsidP="00E42C6D">
      <w:pPr>
        <w:pStyle w:val="Abstract"/>
        <w:spacing w:line="480" w:lineRule="auto"/>
        <w:ind w:firstLine="708"/>
      </w:pPr>
      <w:r w:rsidRPr="00E435C0">
        <w:t xml:space="preserve">Examining all floodplain roughness estimates over the continental United States, the national </w:t>
      </w:r>
      <w:r w:rsidR="005024A6" w:rsidRPr="00E435C0">
        <w:t>median</w:t>
      </w:r>
      <w:r w:rsidRPr="00E435C0">
        <w:t xml:space="preserve"> of the estimated floodplain Manning’s </w:t>
      </w:r>
      <w:r w:rsidRPr="00E435C0">
        <w:rPr>
          <w:i/>
          <w:iCs/>
        </w:rPr>
        <w:t>n</w:t>
      </w:r>
      <w:r w:rsidRPr="00E435C0">
        <w:t xml:space="preserve"> values was 0.</w:t>
      </w:r>
      <w:r w:rsidR="005024A6" w:rsidRPr="00E435C0">
        <w:t>021</w:t>
      </w:r>
      <w:r w:rsidRPr="00E435C0">
        <w:t>, with a 5</w:t>
      </w:r>
      <w:r w:rsidRPr="00E435C0">
        <w:rPr>
          <w:vertAlign w:val="superscript"/>
        </w:rPr>
        <w:t>th</w:t>
      </w:r>
      <w:r w:rsidRPr="00E435C0">
        <w:t xml:space="preserve"> and 95</w:t>
      </w:r>
      <w:r w:rsidRPr="00E435C0">
        <w:rPr>
          <w:vertAlign w:val="superscript"/>
        </w:rPr>
        <w:t>th</w:t>
      </w:r>
      <w:r w:rsidRPr="00E435C0">
        <w:t xml:space="preserve"> percentile of 0.</w:t>
      </w:r>
      <w:r w:rsidR="00803104" w:rsidRPr="00E435C0">
        <w:t>00</w:t>
      </w:r>
      <w:r w:rsidR="005024A6" w:rsidRPr="00E435C0">
        <w:t>1</w:t>
      </w:r>
      <w:r w:rsidRPr="00E435C0">
        <w:t xml:space="preserve"> and 0.</w:t>
      </w:r>
      <w:r w:rsidR="005024A6" w:rsidRPr="00E435C0">
        <w:t>326</w:t>
      </w:r>
      <w:r w:rsidRPr="00E435C0">
        <w:t xml:space="preserve">, respectively. On average, a mean of 18 values of </w:t>
      </w:r>
      <w:r w:rsidRPr="00E435C0">
        <w:rPr>
          <w:i/>
          <w:iCs/>
        </w:rPr>
        <w:t>n</w:t>
      </w:r>
      <w:r w:rsidRPr="00E435C0">
        <w:t xml:space="preserve"> were obtained per site, with an average of 155 </w:t>
      </w:r>
      <w:r w:rsidR="00FA6BA6" w:rsidRPr="00E435C0">
        <w:t>values</w:t>
      </w:r>
      <w:r w:rsidRPr="00E435C0">
        <w:t xml:space="preserve"> per state. </w:t>
      </w:r>
      <w:r w:rsidR="006B5A5E" w:rsidRPr="00E435C0">
        <w:t xml:space="preserve">Site-averaged </w:t>
      </w:r>
      <w:r w:rsidR="006B5A5E" w:rsidRPr="00E435C0">
        <w:rPr>
          <w:i/>
          <w:iCs/>
        </w:rPr>
        <w:t>n</w:t>
      </w:r>
      <w:r w:rsidR="006B5A5E" w:rsidRPr="00E435C0">
        <w:t xml:space="preserve"> values revealed consistent spatial patterns across the continental United States (see Supporting Information Figure S2). These patterns are influenced by factors like vegetation biomass and velocities (Figure 1).</w:t>
      </w:r>
    </w:p>
    <w:p w14:paraId="4DA71970" w14:textId="026E0A1E" w:rsidR="00F70713" w:rsidRPr="00E435C0" w:rsidRDefault="009478BA">
      <w:pPr>
        <w:pStyle w:val="Abstract"/>
        <w:spacing w:line="480" w:lineRule="auto"/>
        <w:ind w:firstLine="708"/>
      </w:pPr>
      <w:r w:rsidRPr="00E435C0">
        <w:lastRenderedPageBreak/>
        <w:t>Vegetation biomass</w:t>
      </w:r>
      <w:r w:rsidR="00AD2678" w:rsidRPr="00E435C0">
        <w:t xml:space="preserve"> was shown to drive variability in</w:t>
      </w:r>
      <w:r w:rsidRPr="00E435C0">
        <w:t xml:space="preserve"> </w:t>
      </w:r>
      <w:r w:rsidR="00AD2678" w:rsidRPr="00E435C0">
        <w:t>floodplain roughness</w:t>
      </w:r>
      <w:r w:rsidR="1E74179F" w:rsidRPr="00E435C0">
        <w:t xml:space="preserve">, with values of </w:t>
      </w:r>
      <w:r w:rsidR="1E74179F" w:rsidRPr="00E435C0">
        <w:rPr>
          <w:i/>
          <w:iCs/>
        </w:rPr>
        <w:t>n</w:t>
      </w:r>
      <w:r w:rsidR="1E74179F" w:rsidRPr="00E435C0">
        <w:t xml:space="preserve"> for different vegetation classes and heights complied in Table S1</w:t>
      </w:r>
      <w:r w:rsidR="525A6051" w:rsidRPr="00E435C0">
        <w:t xml:space="preserve"> in the Supplementary Information)</w:t>
      </w:r>
      <w:r w:rsidR="00C6277C" w:rsidRPr="00E435C0">
        <w:t xml:space="preserve">. Areas dominated by Grasses, Shrubs, and Woodland, the most common </w:t>
      </w:r>
      <w:r w:rsidR="68C960C4" w:rsidRPr="00E435C0">
        <w:t xml:space="preserve">vegetation </w:t>
      </w:r>
      <w:r w:rsidR="00C6277C" w:rsidRPr="00E435C0">
        <w:t>classification</w:t>
      </w:r>
      <w:r w:rsidR="008B7E05" w:rsidRPr="00E435C0">
        <w:t xml:space="preserve"> </w:t>
      </w:r>
      <w:r w:rsidR="000877B4" w:rsidRPr="00E435C0">
        <w:t>in the GEDI dataset</w:t>
      </w:r>
      <w:r w:rsidR="00C6277C" w:rsidRPr="00E435C0">
        <w:t>, tend</w:t>
      </w:r>
      <w:r w:rsidR="002A5079" w:rsidRPr="00E435C0">
        <w:t>ed</w:t>
      </w:r>
      <w:r w:rsidR="00C6277C" w:rsidRPr="00E435C0">
        <w:t xml:space="preserve"> to have a</w:t>
      </w:r>
      <w:r w:rsidR="00A71E8D" w:rsidRPr="00E435C0">
        <w:t xml:space="preserve"> median </w:t>
      </w:r>
      <w:r w:rsidR="00C6277C" w:rsidRPr="00E435C0">
        <w:t>Manning's n value of 0.0</w:t>
      </w:r>
      <w:r w:rsidR="00C0534A" w:rsidRPr="00E435C0">
        <w:t>1</w:t>
      </w:r>
      <w:r w:rsidR="00CC5053" w:rsidRPr="00E435C0">
        <w:t>7</w:t>
      </w:r>
      <w:r w:rsidR="00A02226" w:rsidRPr="00E435C0">
        <w:t xml:space="preserve"> for a </w:t>
      </w:r>
      <w:r w:rsidR="006C0A0A" w:rsidRPr="00E435C0">
        <w:t>median</w:t>
      </w:r>
      <w:r w:rsidR="00A02226" w:rsidRPr="00E435C0">
        <w:t xml:space="preserve"> biomass on </w:t>
      </w:r>
      <w:r w:rsidR="00B87DBB" w:rsidRPr="00E435C0">
        <w:t xml:space="preserve">the analyzed sites of </w:t>
      </w:r>
      <w:r w:rsidR="00854075" w:rsidRPr="00E435C0">
        <w:t xml:space="preserve">18 </w:t>
      </w:r>
      <w:r w:rsidR="00DD145F" w:rsidRPr="00E435C0">
        <w:t>Mg/Ha</w:t>
      </w:r>
      <w:r w:rsidR="00C6277C" w:rsidRPr="00E435C0">
        <w:t>. Deciduous Broadleaf Trees, the second most common class, exhibit</w:t>
      </w:r>
      <w:r w:rsidR="00267683" w:rsidRPr="00E435C0">
        <w:t>ed</w:t>
      </w:r>
      <w:r w:rsidR="00C6277C" w:rsidRPr="00E435C0">
        <w:t xml:space="preserve"> slightly higher roughness with a</w:t>
      </w:r>
      <w:r w:rsidR="004C34DC" w:rsidRPr="00E435C0">
        <w:t xml:space="preserve"> median </w:t>
      </w:r>
      <w:r w:rsidR="00C6277C" w:rsidRPr="00E435C0">
        <w:t>Manning's n value of 0.</w:t>
      </w:r>
      <w:r w:rsidR="00AE266D" w:rsidRPr="00E435C0">
        <w:t>025</w:t>
      </w:r>
      <w:r w:rsidR="00DD145F" w:rsidRPr="00E435C0">
        <w:t xml:space="preserve">, having </w:t>
      </w:r>
      <w:r w:rsidR="00D97AD1" w:rsidRPr="00E435C0">
        <w:t xml:space="preserve">a median </w:t>
      </w:r>
      <w:r w:rsidR="00E67DA8" w:rsidRPr="00E435C0">
        <w:t xml:space="preserve">biomass of </w:t>
      </w:r>
      <w:r w:rsidR="007E291E" w:rsidRPr="00E435C0">
        <w:t>77</w:t>
      </w:r>
      <w:r w:rsidR="00E67DA8" w:rsidRPr="00E435C0">
        <w:t xml:space="preserve"> Mg/Ha</w:t>
      </w:r>
      <w:r w:rsidR="00C6277C" w:rsidRPr="00E435C0">
        <w:t xml:space="preserve">. Evergreen </w:t>
      </w:r>
      <w:r w:rsidR="007E291E" w:rsidRPr="00E435C0">
        <w:t>Broadleaf</w:t>
      </w:r>
      <w:r w:rsidR="00C6277C" w:rsidRPr="00E435C0">
        <w:t xml:space="preserve"> and Evergreen </w:t>
      </w:r>
      <w:r w:rsidR="007E291E" w:rsidRPr="00E435C0">
        <w:t>Needleleaf</w:t>
      </w:r>
      <w:r w:rsidR="00F42794" w:rsidRPr="00E435C0">
        <w:t xml:space="preserve">, despite having </w:t>
      </w:r>
      <w:r w:rsidR="00216232" w:rsidRPr="00E435C0">
        <w:t>similar biomass densities (</w:t>
      </w:r>
      <w:r w:rsidR="00AE266D" w:rsidRPr="00E435C0">
        <w:t>95</w:t>
      </w:r>
      <w:r w:rsidR="00216232" w:rsidRPr="00E435C0">
        <w:t xml:space="preserve"> Mg/Ha and </w:t>
      </w:r>
      <w:r w:rsidR="00AE266D" w:rsidRPr="00E435C0">
        <w:t>106</w:t>
      </w:r>
      <w:r w:rsidR="00216232" w:rsidRPr="00E435C0">
        <w:t xml:space="preserve"> Mg/Ha, respectively) </w:t>
      </w:r>
      <w:r w:rsidR="00C6277C" w:rsidRPr="00E435C0">
        <w:t>contribute</w:t>
      </w:r>
      <w:r w:rsidR="00267683" w:rsidRPr="00E435C0">
        <w:t>d</w:t>
      </w:r>
      <w:r w:rsidR="00C6277C" w:rsidRPr="00E435C0">
        <w:t xml:space="preserve"> to </w:t>
      </w:r>
      <w:r w:rsidR="00AE1EF3" w:rsidRPr="00E435C0">
        <w:t>different roughness</w:t>
      </w:r>
      <w:r w:rsidR="002B34EC" w:rsidRPr="00E435C0">
        <w:t xml:space="preserve"> values</w:t>
      </w:r>
      <w:r w:rsidR="00AE1EF3" w:rsidRPr="00E435C0">
        <w:t xml:space="preserve">, </w:t>
      </w:r>
      <w:r w:rsidR="00C6277C" w:rsidRPr="00E435C0">
        <w:t xml:space="preserve">with </w:t>
      </w:r>
      <w:r w:rsidR="00AE1EF3" w:rsidRPr="00E435C0">
        <w:t>median</w:t>
      </w:r>
      <w:r w:rsidR="00C6277C" w:rsidRPr="00E435C0">
        <w:t xml:space="preserve"> Manning's n values of 0.</w:t>
      </w:r>
      <w:r w:rsidR="003914F0" w:rsidRPr="00E435C0">
        <w:t>030</w:t>
      </w:r>
      <w:r w:rsidR="00C6277C" w:rsidRPr="00E435C0">
        <w:t xml:space="preserve"> and 0.</w:t>
      </w:r>
      <w:r w:rsidR="007E291E" w:rsidRPr="00E435C0">
        <w:t>0</w:t>
      </w:r>
      <w:r w:rsidR="003914F0" w:rsidRPr="00E435C0">
        <w:t>10</w:t>
      </w:r>
      <w:r w:rsidR="00C6277C" w:rsidRPr="00E435C0">
        <w:t xml:space="preserve">, respectively. Due to a limited number of samples, there were not enough observations to draw conclusions about the impact of Deciduous Needleleaf Trees on floodplain roughness (see Supplementary </w:t>
      </w:r>
      <w:r w:rsidR="00971E1C" w:rsidRPr="00E435C0">
        <w:t>Information Table 1)</w:t>
      </w:r>
      <w:r w:rsidR="00C6277C" w:rsidRPr="00E435C0">
        <w:t>.</w:t>
      </w:r>
    </w:p>
    <w:p w14:paraId="5569568D" w14:textId="3CD8EE8D" w:rsidR="002D3840" w:rsidRPr="00E435C0" w:rsidRDefault="006A6BDE" w:rsidP="002D3840">
      <w:pPr>
        <w:pStyle w:val="Abstract"/>
        <w:spacing w:line="480" w:lineRule="auto"/>
        <w:ind w:firstLine="708"/>
      </w:pPr>
      <w:r w:rsidRPr="00E435C0">
        <w:t>Even at a broad scale with</w:t>
      </w:r>
      <w:r w:rsidR="00C52417" w:rsidRPr="00E435C0">
        <w:t xml:space="preserve"> the</w:t>
      </w:r>
      <w:r w:rsidRPr="00E435C0">
        <w:t xml:space="preserve"> relatively low-resolution</w:t>
      </w:r>
      <w:r w:rsidR="00320717" w:rsidRPr="00E435C0">
        <w:t>,</w:t>
      </w:r>
      <w:r w:rsidRPr="00E435C0">
        <w:t xml:space="preserve"> </w:t>
      </w:r>
      <w:proofErr w:type="gramStart"/>
      <w:r w:rsidR="00C52417" w:rsidRPr="00E435C0">
        <w:t>remote</w:t>
      </w:r>
      <w:r w:rsidR="00320717" w:rsidRPr="00E435C0">
        <w:t>ly</w:t>
      </w:r>
      <w:r w:rsidR="00C52417" w:rsidRPr="00E435C0">
        <w:t>-sensed</w:t>
      </w:r>
      <w:proofErr w:type="gramEnd"/>
      <w:r w:rsidR="00C52417" w:rsidRPr="00E435C0">
        <w:t xml:space="preserve"> </w:t>
      </w:r>
      <w:r w:rsidRPr="00E435C0">
        <w:t xml:space="preserve">vegetation </w:t>
      </w:r>
      <w:r w:rsidR="00320717" w:rsidRPr="00E435C0">
        <w:t>(</w:t>
      </w:r>
      <w:r w:rsidR="00C52417" w:rsidRPr="00E435C0">
        <w:t>GEDI</w:t>
      </w:r>
      <w:r w:rsidR="00320717" w:rsidRPr="00E435C0">
        <w:t>)</w:t>
      </w:r>
      <w:r w:rsidR="00C52417" w:rsidRPr="00E435C0">
        <w:t xml:space="preserve"> </w:t>
      </w:r>
      <w:r w:rsidRPr="00E435C0">
        <w:t>datasets</w:t>
      </w:r>
      <w:r w:rsidR="00C52417" w:rsidRPr="00E435C0">
        <w:t xml:space="preserve"> used in this project</w:t>
      </w:r>
      <w:r w:rsidRPr="00E435C0">
        <w:t xml:space="preserve">, clear patterns </w:t>
      </w:r>
      <w:r w:rsidR="00320717" w:rsidRPr="00E435C0">
        <w:t xml:space="preserve">were </w:t>
      </w:r>
      <w:r w:rsidRPr="00E435C0">
        <w:t xml:space="preserve">found between the floodplain Manning’s </w:t>
      </w:r>
      <w:r w:rsidRPr="00E435C0">
        <w:rPr>
          <w:i/>
          <w:iCs/>
        </w:rPr>
        <w:t xml:space="preserve">n </w:t>
      </w:r>
      <w:r w:rsidRPr="00E435C0">
        <w:t>values and features</w:t>
      </w:r>
      <w:r w:rsidR="009E3757" w:rsidRPr="00E435C0">
        <w:t xml:space="preserve"> (i.e. biomass, submergence)</w:t>
      </w:r>
      <w:r w:rsidRPr="00E435C0">
        <w:t xml:space="preserve"> expected to predict </w:t>
      </w:r>
      <w:r w:rsidR="00320717" w:rsidRPr="00E435C0">
        <w:rPr>
          <w:i/>
          <w:iCs/>
        </w:rPr>
        <w:t xml:space="preserve">n </w:t>
      </w:r>
      <w:r w:rsidR="00320717" w:rsidRPr="00E435C0">
        <w:t>values</w:t>
      </w:r>
      <w:r w:rsidR="00AA3C72" w:rsidRPr="00E435C0">
        <w:t xml:space="preserve"> at various velocity ranges</w:t>
      </w:r>
      <w:r w:rsidR="001F6980" w:rsidRPr="00E435C0">
        <w:t xml:space="preserve"> (</w:t>
      </w:r>
      <w:r w:rsidR="00441DDF" w:rsidRPr="00E435C0">
        <w:t>F</w:t>
      </w:r>
      <w:r w:rsidR="001F6980" w:rsidRPr="00E435C0">
        <w:t>igure</w:t>
      </w:r>
      <w:r w:rsidR="002F7539" w:rsidRPr="00E435C0">
        <w:t xml:space="preserve"> 1</w:t>
      </w:r>
      <w:r w:rsidR="001F6980" w:rsidRPr="00E435C0">
        <w:t>)</w:t>
      </w:r>
      <w:r w:rsidRPr="00E435C0">
        <w:t xml:space="preserve">. </w:t>
      </w:r>
      <w:r w:rsidR="005438F9" w:rsidRPr="00E435C0">
        <w:t>The values</w:t>
      </w:r>
      <w:r w:rsidRPr="00E435C0">
        <w:t xml:space="preserve"> of </w:t>
      </w:r>
      <w:r w:rsidRPr="00E435C0">
        <w:rPr>
          <w:i/>
          <w:iCs/>
        </w:rPr>
        <w:t>n</w:t>
      </w:r>
      <w:r w:rsidRPr="00E435C0">
        <w:t xml:space="preserve"> were inversely related to flow velocity and positively related to vegetation inundation fraction. </w:t>
      </w:r>
      <w:r w:rsidR="00320717" w:rsidRPr="00E435C0">
        <w:t xml:space="preserve">Velocities were lowest at locations where </w:t>
      </w:r>
      <w:r w:rsidRPr="00E435C0">
        <w:t xml:space="preserve">Manning’s </w:t>
      </w:r>
      <w:r w:rsidRPr="00E435C0">
        <w:rPr>
          <w:i/>
          <w:iCs/>
        </w:rPr>
        <w:t>n</w:t>
      </w:r>
      <w:r w:rsidRPr="00E435C0">
        <w:t xml:space="preserve"> was highest. Within three velocity ranges, Manning’s </w:t>
      </w:r>
      <w:r w:rsidRPr="00E435C0">
        <w:rPr>
          <w:i/>
          <w:iCs/>
        </w:rPr>
        <w:t>n</w:t>
      </w:r>
      <w:r w:rsidRPr="00E435C0">
        <w:t xml:space="preserve"> varied with inundation fraction and vegetation biomass. </w:t>
      </w:r>
      <w:r w:rsidR="00BB0FBC" w:rsidRPr="00E435C0">
        <w:t>Median</w:t>
      </w:r>
      <w:r w:rsidRPr="00E435C0">
        <w:t xml:space="preserve"> Manning’s </w:t>
      </w:r>
      <w:r w:rsidRPr="00E435C0">
        <w:rPr>
          <w:i/>
          <w:iCs/>
        </w:rPr>
        <w:t>n</w:t>
      </w:r>
      <w:r w:rsidRPr="00E435C0">
        <w:t xml:space="preserve"> values ranged from 0.00</w:t>
      </w:r>
      <w:r w:rsidR="00BB0FBC" w:rsidRPr="00E435C0">
        <w:t>1</w:t>
      </w:r>
      <w:r w:rsidRPr="00E435C0">
        <w:t>-0.0</w:t>
      </w:r>
      <w:r w:rsidR="00BB0FBC" w:rsidRPr="00E435C0">
        <w:t>09</w:t>
      </w:r>
      <w:r w:rsidRPr="00E435C0">
        <w:t xml:space="preserve"> for the highest velocities (</w:t>
      </w:r>
      <w:r w:rsidRPr="00E435C0">
        <w:rPr>
          <w:i/>
          <w:iCs/>
        </w:rPr>
        <w:t>V</w:t>
      </w:r>
      <w:r w:rsidRPr="00E435C0">
        <w:t xml:space="preserve"> &gt; 3 m/s), whereas </w:t>
      </w:r>
      <w:r w:rsidR="00BB0FBC" w:rsidRPr="00E435C0">
        <w:t>median</w:t>
      </w:r>
      <w:r w:rsidRPr="00E435C0">
        <w:t xml:space="preserve"> </w:t>
      </w:r>
      <w:r w:rsidRPr="00E435C0">
        <w:rPr>
          <w:i/>
          <w:iCs/>
        </w:rPr>
        <w:t>n</w:t>
      </w:r>
      <w:r w:rsidRPr="00E435C0">
        <w:t xml:space="preserve"> values ranged between 0.</w:t>
      </w:r>
      <w:r w:rsidR="00BB0FBC" w:rsidRPr="00E435C0">
        <w:t>008</w:t>
      </w:r>
      <w:r w:rsidRPr="00E435C0">
        <w:t xml:space="preserve"> and 0.</w:t>
      </w:r>
      <w:r w:rsidR="00BB0FBC" w:rsidRPr="00E435C0">
        <w:t>053</w:t>
      </w:r>
      <w:r w:rsidRPr="00E435C0">
        <w:t xml:space="preserve"> for mid-range velocity flows (1-3m/s). Under these mid to high velocities (V &gt; 1m), Manning’s </w:t>
      </w:r>
      <w:r w:rsidRPr="00E435C0">
        <w:rPr>
          <w:i/>
          <w:iCs/>
        </w:rPr>
        <w:t>n</w:t>
      </w:r>
      <w:r w:rsidRPr="00E435C0">
        <w:t xml:space="preserve"> increased consistently with the inundation fraction and inconsistently with vegetative biomass. For low </w:t>
      </w:r>
      <w:r w:rsidRPr="00E435C0">
        <w:lastRenderedPageBreak/>
        <w:t xml:space="preserve">velocity flows (&lt;1m/s), </w:t>
      </w:r>
      <w:r w:rsidRPr="00E435C0">
        <w:rPr>
          <w:i/>
          <w:iCs/>
        </w:rPr>
        <w:t>n</w:t>
      </w:r>
      <w:r w:rsidRPr="00E435C0">
        <w:t xml:space="preserve"> ranged from 0.</w:t>
      </w:r>
      <w:r w:rsidR="00BB0FBC" w:rsidRPr="00E435C0">
        <w:t>030</w:t>
      </w:r>
      <w:r w:rsidRPr="00E435C0">
        <w:t xml:space="preserve"> up to 0.</w:t>
      </w:r>
      <w:r w:rsidR="00BB0FBC" w:rsidRPr="00E435C0">
        <w:t>388</w:t>
      </w:r>
      <w:r w:rsidR="00805A2F" w:rsidRPr="00E435C0">
        <w:t xml:space="preserve"> and</w:t>
      </w:r>
      <w:r w:rsidRPr="00E435C0">
        <w:t xml:space="preserve"> increases in roughness </w:t>
      </w:r>
      <w:r w:rsidR="00320717" w:rsidRPr="00E435C0">
        <w:t>we</w:t>
      </w:r>
      <w:r w:rsidRPr="00E435C0">
        <w:t>re associated inconsistently with both inundation fraction and vegetative biomass.</w:t>
      </w:r>
    </w:p>
    <w:p w14:paraId="156E927B" w14:textId="3881013B" w:rsidR="004D08EF" w:rsidRPr="00E435C0" w:rsidRDefault="00914C30" w:rsidP="00CA4574">
      <w:pPr>
        <w:pStyle w:val="Abstract"/>
        <w:spacing w:line="480" w:lineRule="auto"/>
        <w:rPr>
          <w:b/>
          <w:bCs/>
          <w:color w:val="44546A" w:themeColor="text2"/>
          <w:szCs w:val="18"/>
        </w:rPr>
      </w:pPr>
      <w:r w:rsidRPr="00E435C0">
        <w:rPr>
          <w:noProof/>
          <w:lang w:val="es-DO" w:eastAsia="es-DO"/>
        </w:rPr>
        <w:drawing>
          <wp:inline distT="0" distB="0" distL="0" distR="0" wp14:anchorId="4818F625" wp14:editId="00A7CEC0">
            <wp:extent cx="5879604" cy="6775718"/>
            <wp:effectExtent l="0" t="0" r="6985" b="6350"/>
            <wp:docPr id="2104270338" name="Picture 2104270338" descr="A group of graph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70338" name="Picture 1" descr="A group of graphs with numbers&#10;&#10;Description automatically generated"/>
                    <pic:cNvPicPr/>
                  </pic:nvPicPr>
                  <pic:blipFill>
                    <a:blip r:embed="rId9"/>
                    <a:stretch>
                      <a:fillRect/>
                    </a:stretch>
                  </pic:blipFill>
                  <pic:spPr>
                    <a:xfrm>
                      <a:off x="0" y="0"/>
                      <a:ext cx="5879604" cy="6775718"/>
                    </a:xfrm>
                    <a:prstGeom prst="rect">
                      <a:avLst/>
                    </a:prstGeom>
                  </pic:spPr>
                </pic:pic>
              </a:graphicData>
            </a:graphic>
          </wp:inline>
        </w:drawing>
      </w:r>
    </w:p>
    <w:p w14:paraId="4AE8EC3B" w14:textId="3D5A542E" w:rsidR="002F7539" w:rsidRPr="00E435C0" w:rsidRDefault="004D08EF" w:rsidP="00BD2932">
      <w:pPr>
        <w:pStyle w:val="Caption"/>
        <w:spacing w:after="0" w:line="480" w:lineRule="auto"/>
        <w:rPr>
          <w:b/>
          <w:i w:val="0"/>
          <w:color w:val="000000" w:themeColor="text1"/>
        </w:rPr>
      </w:pPr>
      <w:r w:rsidRPr="00E435C0">
        <w:rPr>
          <w:b/>
          <w:bCs/>
          <w:i w:val="0"/>
          <w:iCs w:val="0"/>
          <w:color w:val="000000" w:themeColor="text1"/>
        </w:rPr>
        <w:lastRenderedPageBreak/>
        <w:t>Figure 1</w:t>
      </w:r>
      <w:r w:rsidRPr="00E435C0">
        <w:rPr>
          <w:i w:val="0"/>
          <w:iCs w:val="0"/>
          <w:color w:val="000000" w:themeColor="text1"/>
        </w:rPr>
        <w:t xml:space="preserve">. </w:t>
      </w:r>
      <w:r w:rsidR="00185C75" w:rsidRPr="00E435C0">
        <w:rPr>
          <w:i w:val="0"/>
          <w:iCs w:val="0"/>
          <w:color w:val="000000" w:themeColor="text1"/>
        </w:rPr>
        <w:t>Median</w:t>
      </w:r>
      <w:r w:rsidRPr="00E435C0">
        <w:rPr>
          <w:i w:val="0"/>
          <w:iCs w:val="0"/>
          <w:color w:val="000000" w:themeColor="text1"/>
        </w:rPr>
        <w:t xml:space="preserve"> floodplain Manning's </w:t>
      </w:r>
      <w:r w:rsidRPr="00E435C0">
        <w:rPr>
          <w:color w:val="000000" w:themeColor="text1"/>
        </w:rPr>
        <w:t>n</w:t>
      </w:r>
      <w:r w:rsidRPr="00E435C0">
        <w:rPr>
          <w:i w:val="0"/>
          <w:iCs w:val="0"/>
          <w:color w:val="000000" w:themeColor="text1"/>
        </w:rPr>
        <w:t xml:space="preserve"> values for different levels of floodplain aboveground biomass and vegetation inundation fraction.</w:t>
      </w:r>
      <w:r w:rsidR="007738AE" w:rsidRPr="00E435C0">
        <w:rPr>
          <w:i w:val="0"/>
          <w:iCs w:val="0"/>
          <w:color w:val="000000" w:themeColor="text1"/>
        </w:rPr>
        <w:t xml:space="preserve"> Numerical values within each box represent </w:t>
      </w:r>
      <w:r w:rsidR="00E50654" w:rsidRPr="00E435C0">
        <w:rPr>
          <w:i w:val="0"/>
          <w:iCs w:val="0"/>
          <w:color w:val="000000" w:themeColor="text1"/>
        </w:rPr>
        <w:t xml:space="preserve">the </w:t>
      </w:r>
      <w:r w:rsidR="00EC7764" w:rsidRPr="00E435C0">
        <w:rPr>
          <w:i w:val="0"/>
          <w:iCs w:val="0"/>
          <w:color w:val="000000" w:themeColor="text1"/>
        </w:rPr>
        <w:t>median</w:t>
      </w:r>
      <w:r w:rsidR="00E50654" w:rsidRPr="00E435C0">
        <w:rPr>
          <w:i w:val="0"/>
          <w:iCs w:val="0"/>
          <w:color w:val="000000" w:themeColor="text1"/>
        </w:rPr>
        <w:t xml:space="preserve"> </w:t>
      </w:r>
      <w:r w:rsidR="00E50654" w:rsidRPr="00E435C0">
        <w:rPr>
          <w:color w:val="000000" w:themeColor="text1"/>
        </w:rPr>
        <w:t>n</w:t>
      </w:r>
      <w:r w:rsidR="00E50654" w:rsidRPr="00E435C0">
        <w:rPr>
          <w:i w:val="0"/>
          <w:iCs w:val="0"/>
          <w:color w:val="000000" w:themeColor="text1"/>
        </w:rPr>
        <w:t xml:space="preserve"> value for the corresponding </w:t>
      </w:r>
      <w:r w:rsidR="005F7B64" w:rsidRPr="00E435C0">
        <w:rPr>
          <w:i w:val="0"/>
          <w:iCs w:val="0"/>
          <w:color w:val="000000" w:themeColor="text1"/>
        </w:rPr>
        <w:t>range of vegetation inundation fraction and aboveground biomass</w:t>
      </w:r>
      <w:r w:rsidR="00BE4D94" w:rsidRPr="00E435C0">
        <w:rPr>
          <w:i w:val="0"/>
          <w:iCs w:val="0"/>
          <w:color w:val="000000" w:themeColor="text1"/>
        </w:rPr>
        <w:t xml:space="preserve"> and </w:t>
      </w:r>
      <w:r w:rsidR="00BF0116" w:rsidRPr="00E435C0">
        <w:rPr>
          <w:i w:val="0"/>
          <w:iCs w:val="0"/>
          <w:color w:val="000000" w:themeColor="text1"/>
        </w:rPr>
        <w:t xml:space="preserve">results </w:t>
      </w:r>
      <w:r w:rsidR="007738AE" w:rsidRPr="00E435C0">
        <w:rPr>
          <w:i w:val="0"/>
          <w:iCs w:val="0"/>
          <w:color w:val="000000" w:themeColor="text1"/>
        </w:rPr>
        <w:t xml:space="preserve">shown </w:t>
      </w:r>
      <w:r w:rsidR="007669BE" w:rsidRPr="00E435C0">
        <w:rPr>
          <w:i w:val="0"/>
          <w:iCs w:val="0"/>
          <w:color w:val="000000" w:themeColor="text1"/>
        </w:rPr>
        <w:t xml:space="preserve">only </w:t>
      </w:r>
      <w:r w:rsidR="007738AE" w:rsidRPr="00E435C0">
        <w:rPr>
          <w:i w:val="0"/>
          <w:iCs w:val="0"/>
          <w:color w:val="000000" w:themeColor="text1"/>
        </w:rPr>
        <w:t xml:space="preserve">when </w:t>
      </w:r>
      <w:r w:rsidR="00611447" w:rsidRPr="00E435C0">
        <w:rPr>
          <w:i w:val="0"/>
          <w:iCs w:val="0"/>
          <w:color w:val="000000" w:themeColor="text1"/>
        </w:rPr>
        <w:t xml:space="preserve">at least </w:t>
      </w:r>
      <w:r w:rsidR="67653A6F" w:rsidRPr="00E435C0">
        <w:rPr>
          <w:i w:val="0"/>
          <w:iCs w:val="0"/>
          <w:color w:val="000000" w:themeColor="text1"/>
        </w:rPr>
        <w:t>five</w:t>
      </w:r>
      <w:r w:rsidR="00611447" w:rsidRPr="00E435C0">
        <w:rPr>
          <w:i w:val="0"/>
          <w:iCs w:val="0"/>
          <w:color w:val="000000" w:themeColor="text1"/>
        </w:rPr>
        <w:t xml:space="preserve"> </w:t>
      </w:r>
      <w:r w:rsidR="00033717" w:rsidRPr="00E435C0">
        <w:rPr>
          <w:i w:val="0"/>
          <w:iCs w:val="0"/>
          <w:color w:val="000000" w:themeColor="text1"/>
        </w:rPr>
        <w:t xml:space="preserve">values are </w:t>
      </w:r>
      <w:r w:rsidR="007669BE" w:rsidRPr="00E435C0">
        <w:rPr>
          <w:i w:val="0"/>
          <w:iCs w:val="0"/>
          <w:color w:val="000000" w:themeColor="text1"/>
        </w:rPr>
        <w:t>available</w:t>
      </w:r>
      <w:r w:rsidR="00033717" w:rsidRPr="00E435C0">
        <w:rPr>
          <w:i w:val="0"/>
          <w:iCs w:val="0"/>
          <w:color w:val="000000" w:themeColor="text1"/>
        </w:rPr>
        <w:t>.</w:t>
      </w:r>
    </w:p>
    <w:p w14:paraId="36F28134" w14:textId="7A2178B4" w:rsidR="006A6BDE" w:rsidRPr="00E435C0" w:rsidRDefault="00BC69E5" w:rsidP="004A3239">
      <w:pPr>
        <w:pStyle w:val="Abstract"/>
        <w:spacing w:line="480" w:lineRule="auto"/>
        <w:ind w:firstLine="708"/>
      </w:pPr>
      <w:r w:rsidRPr="00E435C0">
        <w:t xml:space="preserve">Based on calculated </w:t>
      </w:r>
      <w:r w:rsidRPr="00E435C0">
        <w:rPr>
          <w:i/>
          <w:iCs/>
        </w:rPr>
        <w:t>n</w:t>
      </w:r>
      <w:r w:rsidRPr="00E435C0">
        <w:t xml:space="preserve"> values, observed flow velocities (</w:t>
      </w:r>
      <m:oMath>
        <m:r>
          <w:rPr>
            <w:rFonts w:ascii="Cambria Math" w:hAnsi="Cambria Math"/>
          </w:rPr>
          <m:t>V</m:t>
        </m:r>
      </m:oMath>
      <w:r w:rsidRPr="00E435C0">
        <w:t>) and depths within the floodplain (</w:t>
      </w:r>
      <m:oMath>
        <m:sSub>
          <m:sSubPr>
            <m:ctrlPr>
              <w:rPr>
                <w:rFonts w:ascii="Cambria Math" w:hAnsi="Cambria Math"/>
                <w:i/>
                <w:iCs/>
              </w:rPr>
            </m:ctrlPr>
          </m:sSubPr>
          <m:e>
            <m:r>
              <w:rPr>
                <w:rFonts w:ascii="Cambria Math" w:hAnsi="Cambria Math"/>
              </w:rPr>
              <m:t>z</m:t>
            </m:r>
          </m:e>
          <m:sub>
            <m:r>
              <w:rPr>
                <w:rFonts w:ascii="Cambria Math" w:hAnsi="Cambria Math"/>
              </w:rPr>
              <m:t>fp</m:t>
            </m:r>
          </m:sub>
        </m:sSub>
      </m:oMath>
      <w:r w:rsidRPr="00E435C0">
        <w:t>), as well as GEDI estimated vegetation height (</w:t>
      </w:r>
      <m:oMath>
        <m:sSub>
          <m:sSubPr>
            <m:ctrlPr>
              <w:rPr>
                <w:rFonts w:ascii="Cambria Math" w:hAnsi="Cambria Math"/>
                <w:i/>
                <w:iCs/>
              </w:rPr>
            </m:ctrlPr>
          </m:sSubPr>
          <m:e>
            <m:r>
              <w:rPr>
                <w:rFonts w:ascii="Cambria Math" w:hAnsi="Cambria Math"/>
              </w:rPr>
              <m:t>h</m:t>
            </m:r>
          </m:e>
          <m:sub>
            <m:r>
              <w:rPr>
                <w:rFonts w:ascii="Cambria Math" w:hAnsi="Cambria Math"/>
              </w:rPr>
              <m:t>veg</m:t>
            </m:r>
          </m:sub>
        </m:sSub>
      </m:oMath>
      <w:r w:rsidRPr="00E435C0">
        <w:t>)</w:t>
      </w:r>
      <w:r w:rsidRPr="00E435C0">
        <w:rPr>
          <w:i/>
          <w:iCs/>
        </w:rPr>
        <w:t xml:space="preserve"> </w:t>
      </w:r>
      <w:r w:rsidRPr="00E435C0">
        <w:t>and biomass (</w:t>
      </w:r>
      <m:oMath>
        <m:r>
          <w:rPr>
            <w:rFonts w:ascii="Cambria Math" w:hAnsi="Cambria Math"/>
          </w:rPr>
          <m:t>B</m:t>
        </m:r>
      </m:oMath>
      <w:r w:rsidRPr="00E435C0">
        <w:t>), a</w:t>
      </w:r>
      <w:r w:rsidR="002238B3" w:rsidRPr="00E435C0">
        <w:t xml:space="preserve">n </w:t>
      </w:r>
      <w:r w:rsidR="006A6BDE" w:rsidRPr="00E435C0">
        <w:t xml:space="preserve">empirical function relating Manning’s </w:t>
      </w:r>
      <m:oMath>
        <m:r>
          <w:rPr>
            <w:rFonts w:ascii="Cambria Math" w:hAnsi="Cambria Math"/>
          </w:rPr>
          <m:t>n</m:t>
        </m:r>
      </m:oMath>
      <w:r w:rsidR="006A6BDE" w:rsidRPr="00E435C0">
        <w:rPr>
          <w:i/>
          <w:iCs/>
        </w:rPr>
        <w:t xml:space="preserve"> </w:t>
      </w:r>
      <w:r w:rsidR="00304C6D" w:rsidRPr="00E435C0">
        <w:t>(</w:t>
      </w:r>
      <w:r w:rsidR="00CD40F1" w:rsidRPr="00E435C0">
        <w:t>See</w:t>
      </w:r>
      <w:r w:rsidR="00AD3D24" w:rsidRPr="00E435C0">
        <w:t xml:space="preserve"> </w:t>
      </w:r>
      <w:r w:rsidR="00304C6D" w:rsidRPr="00E435C0">
        <w:t>Extended Methodology S1</w:t>
      </w:r>
      <w:r w:rsidR="002F1EBB" w:rsidRPr="00E435C0">
        <w:t xml:space="preserve">) </w:t>
      </w:r>
      <w:r w:rsidR="006A6BDE" w:rsidRPr="00E435C0">
        <w:t xml:space="preserve">provided a </w:t>
      </w:r>
      <w:r w:rsidR="00CD40F1" w:rsidRPr="00E435C0">
        <w:t xml:space="preserve">reasonable </w:t>
      </w:r>
      <w:r w:rsidR="006A6BDE" w:rsidRPr="00E435C0">
        <w:t xml:space="preserve">fit </w:t>
      </w:r>
      <w:r w:rsidR="00C0576F" w:rsidRPr="00E435C0">
        <w:t>to</w:t>
      </w:r>
      <w:r w:rsidR="00271C3D" w:rsidRPr="00E435C0">
        <w:t xml:space="preserve"> </w:t>
      </w:r>
      <w:r w:rsidR="00C0576F" w:rsidRPr="00E435C0">
        <w:t xml:space="preserve">observed data </w:t>
      </w:r>
      <w:r w:rsidR="006A6BDE" w:rsidRPr="00E435C0">
        <w:t>(r</w:t>
      </w:r>
      <w:r w:rsidR="006A6BDE" w:rsidRPr="00E435C0">
        <w:rPr>
          <w:vertAlign w:val="superscript"/>
        </w:rPr>
        <w:t>2</w:t>
      </w:r>
      <w:r w:rsidR="006A6BDE" w:rsidRPr="00E435C0">
        <w:t xml:space="preserve"> = 0.7</w:t>
      </w:r>
      <w:r w:rsidR="002C411E" w:rsidRPr="00E435C0">
        <w:t>4</w:t>
      </w:r>
      <w:r w:rsidR="006A6BDE" w:rsidRPr="00E435C0">
        <w:t>)</w:t>
      </w:r>
      <w:r w:rsidR="00271C3D" w:rsidRPr="00E435C0">
        <w:t>:</w:t>
      </w:r>
      <w:r w:rsidRPr="00E435C0">
        <w:t xml:space="preserve"> </w:t>
      </w:r>
    </w:p>
    <w:p w14:paraId="2DC515DE" w14:textId="45E367EA" w:rsidR="00844116" w:rsidRPr="00E435C0" w:rsidRDefault="006A6BDE" w:rsidP="002D0502">
      <w:pPr>
        <w:pStyle w:val="Abstract"/>
        <w:spacing w:line="480" w:lineRule="auto"/>
        <w:ind w:left="1440" w:firstLine="720"/>
      </w:pPr>
      <m:oMath>
        <m:r>
          <w:rPr>
            <w:rFonts w:ascii="Cambria Math" w:hAnsi="Cambria Math"/>
          </w:rPr>
          <m:t xml:space="preserve">n = 0.0321 </m:t>
        </m:r>
        <m:f>
          <m:fPr>
            <m:ctrlPr>
              <w:rPr>
                <w:rFonts w:ascii="Cambria Math" w:hAnsi="Cambria Math"/>
                <w:i/>
                <w:iCs/>
              </w:rPr>
            </m:ctrlPr>
          </m:fPr>
          <m:num>
            <m:sSup>
              <m:sSupPr>
                <m:ctrlPr>
                  <w:rPr>
                    <w:rFonts w:ascii="Cambria Math" w:hAnsi="Cambria Math"/>
                    <w:i/>
                    <w:iCs/>
                  </w:rPr>
                </m:ctrlPr>
              </m:sSupPr>
              <m:e>
                <m:r>
                  <w:rPr>
                    <w:rFonts w:ascii="Cambria Math" w:hAnsi="Cambria Math"/>
                  </w:rPr>
                  <m:t>B</m:t>
                </m:r>
              </m:e>
              <m:sup>
                <m:r>
                  <w:rPr>
                    <w:rFonts w:ascii="Cambria Math" w:hAnsi="Cambria Math"/>
                  </w:rPr>
                  <m:t>0.20</m:t>
                </m:r>
              </m:sup>
            </m:sSup>
          </m:num>
          <m:den>
            <m:sSup>
              <m:sSupPr>
                <m:ctrlPr>
                  <w:rPr>
                    <w:rFonts w:ascii="Cambria Math" w:hAnsi="Cambria Math"/>
                    <w:i/>
                  </w:rPr>
                </m:ctrlPr>
              </m:sSupPr>
              <m:e>
                <m:r>
                  <w:rPr>
                    <w:rFonts w:ascii="Cambria Math" w:hAnsi="Cambria Math"/>
                  </w:rPr>
                  <m:t>V</m:t>
                </m:r>
              </m:e>
              <m:sup>
                <m:r>
                  <w:rPr>
                    <w:rFonts w:ascii="Cambria Math" w:hAnsi="Cambria Math"/>
                  </w:rPr>
                  <m:t>0.99</m:t>
                </m:r>
              </m:sup>
            </m:sSup>
          </m:den>
        </m:f>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z</m:t>
                        </m:r>
                      </m:e>
                      <m:sub>
                        <m:r>
                          <w:rPr>
                            <w:rFonts w:ascii="Cambria Math" w:hAnsi="Cambria Math"/>
                          </w:rPr>
                          <m:t>fp</m:t>
                        </m:r>
                      </m:sub>
                    </m:sSub>
                  </m:num>
                  <m:den>
                    <m:sSub>
                      <m:sSubPr>
                        <m:ctrlPr>
                          <w:rPr>
                            <w:rFonts w:ascii="Cambria Math" w:hAnsi="Cambria Math"/>
                            <w:i/>
                            <w:iCs/>
                          </w:rPr>
                        </m:ctrlPr>
                      </m:sSubPr>
                      <m:e>
                        <m:r>
                          <w:rPr>
                            <w:rFonts w:ascii="Cambria Math" w:hAnsi="Cambria Math"/>
                          </w:rPr>
                          <m:t>h</m:t>
                        </m:r>
                      </m:e>
                      <m:sub>
                        <m:r>
                          <w:rPr>
                            <w:rFonts w:ascii="Cambria Math" w:hAnsi="Cambria Math"/>
                          </w:rPr>
                          <m:t>veg</m:t>
                        </m:r>
                      </m:sub>
                    </m:sSub>
                  </m:den>
                </m:f>
              </m:e>
            </m:d>
          </m:e>
          <m:sup>
            <m:r>
              <w:rPr>
                <w:rFonts w:ascii="Cambria Math" w:hAnsi="Cambria Math"/>
              </w:rPr>
              <m:t>0.5</m:t>
            </m:r>
          </m:sup>
        </m:sSup>
      </m:oMath>
      <w:r w:rsidRPr="00E435C0">
        <w:rPr>
          <w:i/>
          <w:iCs/>
        </w:rPr>
        <w:tab/>
      </w:r>
      <w:r w:rsidRPr="00E435C0">
        <w:rPr>
          <w:i/>
          <w:iCs/>
        </w:rPr>
        <w:tab/>
      </w:r>
      <w:r w:rsidRPr="00E435C0">
        <w:rPr>
          <w:i/>
          <w:iCs/>
        </w:rPr>
        <w:tab/>
      </w:r>
      <w:r w:rsidR="00C25ABD" w:rsidRPr="00E435C0">
        <w:rPr>
          <w:i/>
          <w:iCs/>
        </w:rPr>
        <w:tab/>
      </w:r>
      <w:r w:rsidR="00623035" w:rsidRPr="00E435C0">
        <w:rPr>
          <w:i/>
          <w:iCs/>
        </w:rPr>
        <w:tab/>
      </w:r>
      <w:r w:rsidRPr="00E435C0">
        <w:rPr>
          <w:i/>
          <w:iCs/>
        </w:rPr>
        <w:t xml:space="preserve"> </w:t>
      </w:r>
      <w:r w:rsidRPr="00E435C0">
        <w:t xml:space="preserve">(eq. </w:t>
      </w:r>
      <w:r w:rsidR="006A71CD" w:rsidRPr="00E435C0">
        <w:t>2</w:t>
      </w:r>
      <w:r w:rsidRPr="00E435C0">
        <w:t>)</w:t>
      </w:r>
    </w:p>
    <w:p w14:paraId="76E47274" w14:textId="2FDAE247" w:rsidR="002D0502" w:rsidRPr="00E435C0" w:rsidRDefault="00FC3215" w:rsidP="00DC2C6E">
      <w:pPr>
        <w:pStyle w:val="Abstract"/>
        <w:spacing w:line="480" w:lineRule="auto"/>
        <w:ind w:firstLine="720"/>
      </w:pPr>
      <w:r w:rsidRPr="00E435C0">
        <w:t>This function</w:t>
      </w:r>
      <w:r w:rsidR="001469DB" w:rsidRPr="00E435C0">
        <w:t>,</w:t>
      </w:r>
      <w:r w:rsidRPr="00E435C0">
        <w:t xml:space="preserve"> </w:t>
      </w:r>
      <w:r w:rsidR="00BC69E5" w:rsidRPr="00E435C0">
        <w:t>visualized across observed conditions in Figure 2</w:t>
      </w:r>
      <w:r w:rsidR="001469DB" w:rsidRPr="00E435C0">
        <w:t xml:space="preserve">, predicted </w:t>
      </w:r>
      <w:r w:rsidR="311F2D8F" w:rsidRPr="00E435C0">
        <w:rPr>
          <w:i/>
          <w:iCs/>
        </w:rPr>
        <w:t>n</w:t>
      </w:r>
      <w:r w:rsidR="311F2D8F" w:rsidRPr="00E435C0">
        <w:t xml:space="preserve"> with a </w:t>
      </w:r>
      <w:r w:rsidR="00BC69E5" w:rsidRPr="00E435C0">
        <w:t xml:space="preserve">root mean squared error (RMSE) </w:t>
      </w:r>
      <w:r w:rsidR="311F2D8F" w:rsidRPr="00E435C0">
        <w:t>of 0.02</w:t>
      </w:r>
      <w:r w:rsidR="52CE89A7" w:rsidRPr="00E435C0">
        <w:t>4</w:t>
      </w:r>
      <w:r w:rsidR="03AD8532" w:rsidRPr="00E435C0">
        <w:t xml:space="preserve"> (see </w:t>
      </w:r>
      <w:r w:rsidR="00943462" w:rsidRPr="00E435C0">
        <w:t xml:space="preserve">scripts in </w:t>
      </w:r>
      <w:r w:rsidR="0056244F" w:rsidRPr="00E435C0">
        <w:t>Supporting Information</w:t>
      </w:r>
      <w:r w:rsidR="03AD8532" w:rsidRPr="00E435C0">
        <w:t>)</w:t>
      </w:r>
      <w:r w:rsidR="00EC7DB7" w:rsidRPr="00E435C0">
        <w:t>. It</w:t>
      </w:r>
      <w:r w:rsidR="311F2D8F" w:rsidRPr="00E435C0">
        <w:t xml:space="preserve"> further </w:t>
      </w:r>
      <w:r w:rsidR="001469DB" w:rsidRPr="00E435C0">
        <w:t xml:space="preserve">illustrated </w:t>
      </w:r>
      <w:r w:rsidR="311F2D8F" w:rsidRPr="00E435C0">
        <w:t xml:space="preserve">how Manning’s </w:t>
      </w:r>
      <w:r w:rsidR="311F2D8F" w:rsidRPr="00E435C0">
        <w:rPr>
          <w:i/>
          <w:iCs/>
        </w:rPr>
        <w:t>n</w:t>
      </w:r>
      <w:r w:rsidR="311F2D8F" w:rsidRPr="00E435C0">
        <w:t xml:space="preserve"> varies with flow and vegetation properties</w:t>
      </w:r>
      <w:r w:rsidR="00EC7DB7" w:rsidRPr="00E435C0">
        <w:t xml:space="preserve">, with an </w:t>
      </w:r>
      <w:r w:rsidR="311F2D8F" w:rsidRPr="00E435C0">
        <w:t>inverse proportionality</w:t>
      </w:r>
      <w:r w:rsidR="00EC7DB7" w:rsidRPr="00E435C0">
        <w:t xml:space="preserve"> between</w:t>
      </w:r>
      <w:r w:rsidR="311F2D8F" w:rsidRPr="00E435C0">
        <w:t xml:space="preserve"> Manning’s </w:t>
      </w:r>
      <w:r w:rsidR="311F2D8F" w:rsidRPr="00E435C0">
        <w:rPr>
          <w:i/>
          <w:iCs/>
        </w:rPr>
        <w:t>n</w:t>
      </w:r>
      <w:r w:rsidR="311F2D8F" w:rsidRPr="00E435C0">
        <w:t xml:space="preserve"> </w:t>
      </w:r>
      <w:r w:rsidR="00EC7DB7" w:rsidRPr="00E435C0">
        <w:t xml:space="preserve">and </w:t>
      </w:r>
      <w:r w:rsidR="311F2D8F" w:rsidRPr="00E435C0">
        <w:t>flow velocity</w:t>
      </w:r>
      <w:r w:rsidR="00EC7DB7" w:rsidRPr="00E435C0">
        <w:t xml:space="preserve">. A </w:t>
      </w:r>
      <w:r w:rsidR="311F2D8F" w:rsidRPr="00E435C0">
        <w:t xml:space="preserve">difference in roughness of </w:t>
      </w:r>
      <w:r w:rsidR="00EC7DB7" w:rsidRPr="00E435C0">
        <w:t>nearly</w:t>
      </w:r>
      <w:r w:rsidR="311F2D8F" w:rsidRPr="00E435C0">
        <w:t xml:space="preserve"> one order of magnitude </w:t>
      </w:r>
      <w:r w:rsidR="00D6120F" w:rsidRPr="00E435C0">
        <w:t xml:space="preserve">was found between </w:t>
      </w:r>
      <w:r w:rsidR="311F2D8F" w:rsidRPr="00E435C0">
        <w:t>low velocities (&lt;1m/s)</w:t>
      </w:r>
      <w:r w:rsidR="00BC69E5" w:rsidRPr="00E435C0">
        <w:t xml:space="preserve"> </w:t>
      </w:r>
      <w:r w:rsidR="00D6120F" w:rsidRPr="00E435C0">
        <w:t>and</w:t>
      </w:r>
      <w:r w:rsidR="311F2D8F" w:rsidRPr="00E435C0">
        <w:t xml:space="preserve"> very high velocities (up to 5m/s) (Figure 2). </w:t>
      </w:r>
      <w:r w:rsidR="00DC2C6E" w:rsidRPr="00E435C0">
        <w:t xml:space="preserve">Within specific velocity ranges, the values of </w:t>
      </w:r>
      <w:r w:rsidR="00DC2C6E" w:rsidRPr="00E435C0">
        <w:rPr>
          <w:i/>
        </w:rPr>
        <w:t>n</w:t>
      </w:r>
      <w:r w:rsidR="00DC2C6E" w:rsidRPr="00E435C0">
        <w:t xml:space="preserve"> are notably influenced by vegetation inundation fraction, with greater roughness associated with higher levels of inundated vegetation.</w:t>
      </w:r>
      <w:r w:rsidR="311F2D8F" w:rsidRPr="00E435C0">
        <w:t xml:space="preserve"> </w:t>
      </w:r>
      <w:bookmarkStart w:id="0" w:name="_Hlk146560516"/>
      <w:r w:rsidR="311F2D8F" w:rsidRPr="00E435C0">
        <w:t xml:space="preserve">Furthermore, the </w:t>
      </w:r>
      <w:r w:rsidR="00090484" w:rsidRPr="00E435C0">
        <w:t xml:space="preserve">data and </w:t>
      </w:r>
      <w:r w:rsidR="0008047A" w:rsidRPr="00E435C0">
        <w:t>function</w:t>
      </w:r>
      <w:r w:rsidR="311F2D8F" w:rsidRPr="00E435C0">
        <w:t xml:space="preserve"> </w:t>
      </w:r>
      <w:r w:rsidR="00090484" w:rsidRPr="00E435C0">
        <w:t>demonstrate</w:t>
      </w:r>
      <w:r w:rsidR="00036384" w:rsidRPr="00E435C0">
        <w:t>d</w:t>
      </w:r>
      <w:r w:rsidR="00090484" w:rsidRPr="00E435C0">
        <w:t xml:space="preserve"> </w:t>
      </w:r>
      <w:r w:rsidR="311F2D8F" w:rsidRPr="00E435C0">
        <w:t xml:space="preserve">that biomass </w:t>
      </w:r>
      <w:r w:rsidR="003C55DC" w:rsidRPr="00E435C0">
        <w:t xml:space="preserve">tended </w:t>
      </w:r>
      <w:r w:rsidR="311F2D8F" w:rsidRPr="00E435C0">
        <w:t>to increase roughnes</w:t>
      </w:r>
      <w:r w:rsidR="00913C4F" w:rsidRPr="00E435C0">
        <w:t xml:space="preserve">s more at low biomass levels </w:t>
      </w:r>
      <w:r w:rsidR="00615B79" w:rsidRPr="00E435C0">
        <w:t xml:space="preserve">(visually inspecting tangent lines revealed the inflection point to be </w:t>
      </w:r>
      <w:r w:rsidR="009F7C2B" w:rsidRPr="00E435C0">
        <w:t xml:space="preserve">approximately </w:t>
      </w:r>
      <w:r w:rsidR="00615B79" w:rsidRPr="00E435C0">
        <w:t>30 Mg/Ha)</w:t>
      </w:r>
      <w:r w:rsidR="004279FC" w:rsidRPr="00E435C0">
        <w:t>, whereas</w:t>
      </w:r>
      <w:r w:rsidR="311F2D8F" w:rsidRPr="00E435C0">
        <w:t xml:space="preserve"> </w:t>
      </w:r>
      <w:r w:rsidR="00090484" w:rsidRPr="00E435C0">
        <w:t xml:space="preserve">its influence </w:t>
      </w:r>
      <w:r w:rsidR="003C55DC" w:rsidRPr="00E435C0">
        <w:t xml:space="preserve">decreased at higher </w:t>
      </w:r>
      <w:r w:rsidR="311F2D8F" w:rsidRPr="00E435C0">
        <w:t xml:space="preserve">biomass </w:t>
      </w:r>
      <w:r w:rsidR="003C55DC" w:rsidRPr="00E435C0">
        <w:t>levels</w:t>
      </w:r>
      <w:r w:rsidR="311F2D8F" w:rsidRPr="00E435C0">
        <w:t xml:space="preserve">. This could explain why the </w:t>
      </w:r>
      <w:r w:rsidR="0008047A" w:rsidRPr="00E435C0">
        <w:t>function</w:t>
      </w:r>
      <w:r w:rsidR="311F2D8F" w:rsidRPr="00E435C0">
        <w:t xml:space="preserve"> </w:t>
      </w:r>
      <w:r w:rsidR="003C55DC" w:rsidRPr="00E435C0">
        <w:t xml:space="preserve">had </w:t>
      </w:r>
      <w:r w:rsidR="311F2D8F" w:rsidRPr="00E435C0">
        <w:t xml:space="preserve">less predictive power </w:t>
      </w:r>
      <w:r w:rsidR="003C55DC" w:rsidRPr="00E435C0">
        <w:t>with</w:t>
      </w:r>
      <w:r w:rsidR="311F2D8F" w:rsidRPr="00E435C0">
        <w:t xml:space="preserve"> biomass </w:t>
      </w:r>
      <w:r w:rsidR="003C55DC" w:rsidRPr="00E435C0">
        <w:t>at</w:t>
      </w:r>
      <w:r w:rsidR="311F2D8F" w:rsidRPr="00E435C0">
        <w:t xml:space="preserve"> higher levels of vegetation inundation fractions</w:t>
      </w:r>
      <w:r w:rsidR="00260E0E" w:rsidRPr="00E435C0">
        <w:t>;</w:t>
      </w:r>
      <w:r w:rsidR="00090484" w:rsidRPr="00E435C0">
        <w:t xml:space="preserve"> </w:t>
      </w:r>
      <w:r w:rsidR="00260E0E" w:rsidRPr="00E435C0">
        <w:t>H</w:t>
      </w:r>
      <w:r w:rsidR="076620B1" w:rsidRPr="00E435C0">
        <w:t xml:space="preserve">igh inundation fractions </w:t>
      </w:r>
      <w:r w:rsidR="00260E0E" w:rsidRPr="00E435C0">
        <w:t>were</w:t>
      </w:r>
      <w:r w:rsidR="076620B1" w:rsidRPr="00E435C0">
        <w:t xml:space="preserve"> not frequently observed at high biomass levels</w:t>
      </w:r>
      <w:r w:rsidR="002B3739" w:rsidRPr="00E435C0">
        <w:t>.</w:t>
      </w:r>
      <w:bookmarkEnd w:id="0"/>
    </w:p>
    <w:p w14:paraId="2525FCA9" w14:textId="2C8856AE" w:rsidR="00623035" w:rsidRPr="00E435C0" w:rsidRDefault="00A90A05" w:rsidP="002D0502">
      <w:pPr>
        <w:pStyle w:val="Abstract"/>
        <w:spacing w:line="480" w:lineRule="auto"/>
      </w:pPr>
      <w:r w:rsidRPr="00E435C0">
        <w:rPr>
          <w:noProof/>
          <w:lang w:val="es-DO" w:eastAsia="es-DO"/>
        </w:rPr>
        <w:lastRenderedPageBreak/>
        <w:drawing>
          <wp:inline distT="0" distB="0" distL="0" distR="0" wp14:anchorId="057214A6" wp14:editId="03B98C71">
            <wp:extent cx="5943600" cy="3556635"/>
            <wp:effectExtent l="0" t="0" r="0" b="5715"/>
            <wp:docPr id="2060833412" name="Picture 2060833412" descr="A graph of different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33412" name="Picture 1" descr="A graph of different lines&#10;&#10;Description automatically generated"/>
                    <pic:cNvPicPr/>
                  </pic:nvPicPr>
                  <pic:blipFill>
                    <a:blip r:embed="rId10"/>
                    <a:stretch>
                      <a:fillRect/>
                    </a:stretch>
                  </pic:blipFill>
                  <pic:spPr>
                    <a:xfrm>
                      <a:off x="0" y="0"/>
                      <a:ext cx="5943600" cy="3556635"/>
                    </a:xfrm>
                    <a:prstGeom prst="rect">
                      <a:avLst/>
                    </a:prstGeom>
                  </pic:spPr>
                </pic:pic>
              </a:graphicData>
            </a:graphic>
          </wp:inline>
        </w:drawing>
      </w:r>
    </w:p>
    <w:p w14:paraId="544E45B4" w14:textId="63B539C6" w:rsidR="002F6A60" w:rsidRPr="00E435C0" w:rsidRDefault="00623035" w:rsidP="009B2E6D">
      <w:pPr>
        <w:pStyle w:val="Caption"/>
        <w:spacing w:after="0" w:line="480" w:lineRule="auto"/>
        <w:rPr>
          <w:i w:val="0"/>
          <w:iCs w:val="0"/>
          <w:color w:val="000000" w:themeColor="text1"/>
        </w:rPr>
      </w:pPr>
      <w:r w:rsidRPr="00E435C0">
        <w:rPr>
          <w:b/>
          <w:bCs/>
          <w:i w:val="0"/>
          <w:iCs w:val="0"/>
          <w:color w:val="000000" w:themeColor="text1"/>
        </w:rPr>
        <w:t>Figure 2</w:t>
      </w:r>
      <w:r w:rsidRPr="00E435C0">
        <w:rPr>
          <w:i w:val="0"/>
          <w:iCs w:val="0"/>
          <w:color w:val="000000" w:themeColor="text1"/>
        </w:rPr>
        <w:t xml:space="preserve"> – Manning’s </w:t>
      </w:r>
      <w:r w:rsidRPr="00E435C0">
        <w:rPr>
          <w:color w:val="000000" w:themeColor="text1"/>
        </w:rPr>
        <w:t>n</w:t>
      </w:r>
      <w:r w:rsidRPr="00E435C0">
        <w:rPr>
          <w:i w:val="0"/>
          <w:iCs w:val="0"/>
          <w:color w:val="000000" w:themeColor="text1"/>
        </w:rPr>
        <w:t xml:space="preserve"> model</w:t>
      </w:r>
      <w:r w:rsidR="0008047A" w:rsidRPr="00E435C0">
        <w:rPr>
          <w:i w:val="0"/>
          <w:iCs w:val="0"/>
          <w:color w:val="000000" w:themeColor="text1"/>
        </w:rPr>
        <w:t>led</w:t>
      </w:r>
      <w:r w:rsidRPr="00E435C0">
        <w:rPr>
          <w:i w:val="0"/>
          <w:iCs w:val="0"/>
          <w:color w:val="000000" w:themeColor="text1"/>
        </w:rPr>
        <w:t xml:space="preserve"> as a function of </w:t>
      </w:r>
      <w:r w:rsidR="007669BE" w:rsidRPr="00E435C0">
        <w:rPr>
          <w:i w:val="0"/>
          <w:iCs w:val="0"/>
          <w:color w:val="000000" w:themeColor="text1"/>
        </w:rPr>
        <w:t>a</w:t>
      </w:r>
      <w:r w:rsidRPr="00E435C0">
        <w:rPr>
          <w:i w:val="0"/>
          <w:iCs w:val="0"/>
          <w:color w:val="000000" w:themeColor="text1"/>
        </w:rPr>
        <w:t xml:space="preserve">boveground </w:t>
      </w:r>
      <w:r w:rsidR="007669BE" w:rsidRPr="00E435C0">
        <w:rPr>
          <w:i w:val="0"/>
          <w:iCs w:val="0"/>
          <w:color w:val="000000" w:themeColor="text1"/>
        </w:rPr>
        <w:t>b</w:t>
      </w:r>
      <w:r w:rsidRPr="00E435C0">
        <w:rPr>
          <w:i w:val="0"/>
          <w:iCs w:val="0"/>
          <w:color w:val="000000" w:themeColor="text1"/>
        </w:rPr>
        <w:t>iomass</w:t>
      </w:r>
      <w:r w:rsidR="007669BE" w:rsidRPr="00E435C0">
        <w:rPr>
          <w:i w:val="0"/>
          <w:iCs w:val="0"/>
          <w:color w:val="000000" w:themeColor="text1"/>
        </w:rPr>
        <w:t xml:space="preserve">, </w:t>
      </w:r>
      <w:r w:rsidR="007669BE" w:rsidRPr="00E435C0">
        <w:rPr>
          <w:color w:val="000000" w:themeColor="text1"/>
        </w:rPr>
        <w:t>B</w:t>
      </w:r>
      <w:r w:rsidR="007669BE" w:rsidRPr="00E435C0">
        <w:rPr>
          <w:i w:val="0"/>
          <w:iCs w:val="0"/>
          <w:color w:val="000000" w:themeColor="text1"/>
        </w:rPr>
        <w:t>,</w:t>
      </w:r>
      <w:r w:rsidRPr="00E435C0">
        <w:rPr>
          <w:i w:val="0"/>
          <w:iCs w:val="0"/>
          <w:color w:val="000000" w:themeColor="text1"/>
        </w:rPr>
        <w:t xml:space="preserve"> and </w:t>
      </w:r>
      <w:r w:rsidR="007669BE" w:rsidRPr="00E435C0">
        <w:rPr>
          <w:i w:val="0"/>
          <w:iCs w:val="0"/>
          <w:color w:val="000000" w:themeColor="text1"/>
        </w:rPr>
        <w:t>f</w:t>
      </w:r>
      <w:r w:rsidRPr="00E435C0">
        <w:rPr>
          <w:i w:val="0"/>
          <w:iCs w:val="0"/>
          <w:color w:val="000000" w:themeColor="text1"/>
        </w:rPr>
        <w:t xml:space="preserve">low </w:t>
      </w:r>
      <w:r w:rsidR="007669BE" w:rsidRPr="00E435C0">
        <w:rPr>
          <w:i w:val="0"/>
          <w:iCs w:val="0"/>
          <w:color w:val="000000" w:themeColor="text1"/>
        </w:rPr>
        <w:t>v</w:t>
      </w:r>
      <w:r w:rsidRPr="00E435C0">
        <w:rPr>
          <w:i w:val="0"/>
          <w:iCs w:val="0"/>
          <w:color w:val="000000" w:themeColor="text1"/>
        </w:rPr>
        <w:t>elocity,</w:t>
      </w:r>
      <w:r w:rsidR="007669BE" w:rsidRPr="00E435C0">
        <w:rPr>
          <w:i w:val="0"/>
          <w:iCs w:val="0"/>
          <w:color w:val="000000" w:themeColor="text1"/>
        </w:rPr>
        <w:t xml:space="preserve"> </w:t>
      </w:r>
      <w:r w:rsidR="007669BE" w:rsidRPr="00E435C0">
        <w:rPr>
          <w:color w:val="000000" w:themeColor="text1"/>
        </w:rPr>
        <w:t>V</w:t>
      </w:r>
      <w:r w:rsidR="007669BE" w:rsidRPr="00E435C0">
        <w:rPr>
          <w:i w:val="0"/>
          <w:iCs w:val="0"/>
          <w:color w:val="000000" w:themeColor="text1"/>
        </w:rPr>
        <w:t>,</w:t>
      </w:r>
      <w:r w:rsidRPr="00E435C0">
        <w:rPr>
          <w:i w:val="0"/>
          <w:iCs w:val="0"/>
          <w:color w:val="000000" w:themeColor="text1"/>
        </w:rPr>
        <w:t xml:space="preserve"> modeled for different levels of </w:t>
      </w:r>
      <w:r w:rsidR="007669BE" w:rsidRPr="00E435C0">
        <w:rPr>
          <w:i w:val="0"/>
          <w:iCs w:val="0"/>
          <w:color w:val="000000" w:themeColor="text1"/>
        </w:rPr>
        <w:t>v</w:t>
      </w:r>
      <w:r w:rsidRPr="00E435C0">
        <w:rPr>
          <w:i w:val="0"/>
          <w:iCs w:val="0"/>
          <w:color w:val="000000" w:themeColor="text1"/>
        </w:rPr>
        <w:t xml:space="preserve">egetation </w:t>
      </w:r>
      <w:r w:rsidR="007669BE" w:rsidRPr="00E435C0">
        <w:rPr>
          <w:i w:val="0"/>
          <w:iCs w:val="0"/>
          <w:color w:val="000000" w:themeColor="text1"/>
        </w:rPr>
        <w:t>i</w:t>
      </w:r>
      <w:r w:rsidRPr="00E435C0">
        <w:rPr>
          <w:i w:val="0"/>
          <w:iCs w:val="0"/>
          <w:color w:val="000000" w:themeColor="text1"/>
        </w:rPr>
        <w:t xml:space="preserve">nundation </w:t>
      </w:r>
      <w:r w:rsidR="007669BE" w:rsidRPr="00E435C0">
        <w:rPr>
          <w:i w:val="0"/>
          <w:iCs w:val="0"/>
          <w:color w:val="000000" w:themeColor="text1"/>
        </w:rPr>
        <w:t>f</w:t>
      </w:r>
      <w:r w:rsidRPr="00E435C0">
        <w:rPr>
          <w:i w:val="0"/>
          <w:iCs w:val="0"/>
          <w:color w:val="000000" w:themeColor="text1"/>
        </w:rPr>
        <w:t>raction</w:t>
      </w:r>
      <w:r w:rsidR="007669BE" w:rsidRPr="00E435C0">
        <w:rPr>
          <w:i w:val="0"/>
          <w:iCs w:val="0"/>
          <w:color w:val="000000" w:themeColor="text1"/>
        </w:rPr>
        <w:t xml:space="preserve"> (</w:t>
      </w:r>
      <w:proofErr w:type="spellStart"/>
      <w:r w:rsidR="007669BE" w:rsidRPr="00E435C0">
        <w:rPr>
          <w:color w:val="000000" w:themeColor="text1"/>
        </w:rPr>
        <w:t>z</w:t>
      </w:r>
      <w:r w:rsidR="007669BE" w:rsidRPr="00E435C0">
        <w:rPr>
          <w:color w:val="000000" w:themeColor="text1"/>
          <w:vertAlign w:val="subscript"/>
        </w:rPr>
        <w:t>fp</w:t>
      </w:r>
      <w:proofErr w:type="spellEnd"/>
      <w:r w:rsidR="007669BE" w:rsidRPr="00E435C0">
        <w:rPr>
          <w:color w:val="000000" w:themeColor="text1"/>
        </w:rPr>
        <w:t>/</w:t>
      </w:r>
      <w:proofErr w:type="spellStart"/>
      <w:r w:rsidR="007669BE" w:rsidRPr="00E435C0">
        <w:rPr>
          <w:color w:val="000000" w:themeColor="text1"/>
        </w:rPr>
        <w:t>h</w:t>
      </w:r>
      <w:r w:rsidR="007669BE" w:rsidRPr="00E435C0">
        <w:rPr>
          <w:color w:val="000000" w:themeColor="text1"/>
          <w:vertAlign w:val="subscript"/>
        </w:rPr>
        <w:t>veg</w:t>
      </w:r>
      <w:proofErr w:type="spellEnd"/>
      <w:r w:rsidR="007669BE" w:rsidRPr="00E435C0">
        <w:rPr>
          <w:i w:val="0"/>
          <w:iCs w:val="0"/>
          <w:color w:val="000000" w:themeColor="text1"/>
        </w:rPr>
        <w:t>)</w:t>
      </w:r>
      <w:r w:rsidR="00CA4574" w:rsidRPr="00E435C0">
        <w:rPr>
          <w:i w:val="0"/>
          <w:iCs w:val="0"/>
          <w:color w:val="000000" w:themeColor="text1"/>
        </w:rPr>
        <w:t>.</w:t>
      </w:r>
      <w:r w:rsidR="00A6688D" w:rsidRPr="00E435C0">
        <w:rPr>
          <w:i w:val="0"/>
          <w:iCs w:val="0"/>
          <w:color w:val="000000" w:themeColor="text1"/>
        </w:rPr>
        <w:t xml:space="preserve"> </w:t>
      </w:r>
      <w:r w:rsidR="00170B97" w:rsidRPr="00E435C0">
        <w:rPr>
          <w:i w:val="0"/>
          <w:iCs w:val="0"/>
          <w:color w:val="000000" w:themeColor="text1"/>
        </w:rPr>
        <w:t>Li</w:t>
      </w:r>
      <w:r w:rsidR="00506DB0" w:rsidRPr="00E435C0">
        <w:rPr>
          <w:i w:val="0"/>
          <w:iCs w:val="0"/>
          <w:color w:val="000000" w:themeColor="text1"/>
        </w:rPr>
        <w:t xml:space="preserve">nes extend up </w:t>
      </w:r>
      <w:r w:rsidR="007669BE" w:rsidRPr="00E435C0">
        <w:rPr>
          <w:i w:val="0"/>
          <w:iCs w:val="0"/>
          <w:color w:val="000000" w:themeColor="text1"/>
        </w:rPr>
        <w:t xml:space="preserve">to </w:t>
      </w:r>
      <w:r w:rsidR="002D3F1E" w:rsidRPr="00E435C0">
        <w:rPr>
          <w:i w:val="0"/>
          <w:iCs w:val="0"/>
          <w:color w:val="000000" w:themeColor="text1"/>
        </w:rPr>
        <w:t>biomass</w:t>
      </w:r>
      <w:r w:rsidR="00C661B1" w:rsidRPr="00E435C0">
        <w:rPr>
          <w:i w:val="0"/>
          <w:iCs w:val="0"/>
          <w:color w:val="000000" w:themeColor="text1"/>
        </w:rPr>
        <w:t xml:space="preserve"> levels</w:t>
      </w:r>
      <w:r w:rsidR="002D3F1E" w:rsidRPr="00E435C0">
        <w:rPr>
          <w:i w:val="0"/>
          <w:iCs w:val="0"/>
          <w:color w:val="000000" w:themeColor="text1"/>
        </w:rPr>
        <w:t xml:space="preserve"> of</w:t>
      </w:r>
      <w:r w:rsidR="00506DB0" w:rsidRPr="00E435C0">
        <w:rPr>
          <w:i w:val="0"/>
          <w:iCs w:val="0"/>
          <w:color w:val="000000" w:themeColor="text1"/>
        </w:rPr>
        <w:t xml:space="preserve"> 50, 80 and </w:t>
      </w:r>
      <w:r w:rsidR="002D3F1E" w:rsidRPr="00E435C0">
        <w:rPr>
          <w:i w:val="0"/>
          <w:iCs w:val="0"/>
          <w:color w:val="000000" w:themeColor="text1"/>
        </w:rPr>
        <w:t xml:space="preserve">150 Mg/ha for </w:t>
      </w:r>
      <w:r w:rsidR="00200B8B" w:rsidRPr="00E435C0">
        <w:rPr>
          <w:i w:val="0"/>
          <w:iCs w:val="0"/>
          <w:color w:val="000000" w:themeColor="text1"/>
        </w:rPr>
        <w:t xml:space="preserve">fractions of </w:t>
      </w:r>
      <w:r w:rsidR="00943F34" w:rsidRPr="00E435C0">
        <w:rPr>
          <w:i w:val="0"/>
          <w:iCs w:val="0"/>
          <w:color w:val="000000" w:themeColor="text1"/>
        </w:rPr>
        <w:t>inundation</w:t>
      </w:r>
      <w:r w:rsidR="00200B8B" w:rsidRPr="00E435C0">
        <w:rPr>
          <w:i w:val="0"/>
          <w:iCs w:val="0"/>
          <w:color w:val="000000" w:themeColor="text1"/>
        </w:rPr>
        <w:t xml:space="preserve"> of 1.0, 0.5 and 0.1, respectively</w:t>
      </w:r>
      <w:r w:rsidR="009B2E6D" w:rsidRPr="00E435C0">
        <w:rPr>
          <w:i w:val="0"/>
          <w:iCs w:val="0"/>
          <w:color w:val="000000" w:themeColor="text1"/>
        </w:rPr>
        <w:t xml:space="preserve"> </w:t>
      </w:r>
      <w:r w:rsidR="00B34149" w:rsidRPr="00E435C0">
        <w:rPr>
          <w:i w:val="0"/>
          <w:iCs w:val="0"/>
          <w:color w:val="000000" w:themeColor="text1"/>
        </w:rPr>
        <w:t xml:space="preserve">based on </w:t>
      </w:r>
      <w:r w:rsidR="001C79D9" w:rsidRPr="00E435C0">
        <w:rPr>
          <w:i w:val="0"/>
          <w:iCs w:val="0"/>
          <w:color w:val="000000" w:themeColor="text1"/>
        </w:rPr>
        <w:t xml:space="preserve">the total number of values </w:t>
      </w:r>
      <w:r w:rsidR="00D567B0" w:rsidRPr="00E435C0">
        <w:rPr>
          <w:i w:val="0"/>
          <w:iCs w:val="0"/>
          <w:color w:val="000000" w:themeColor="text1"/>
        </w:rPr>
        <w:t>within each range</w:t>
      </w:r>
      <w:r w:rsidR="001C79D9" w:rsidRPr="00E435C0">
        <w:rPr>
          <w:i w:val="0"/>
          <w:iCs w:val="0"/>
          <w:color w:val="000000" w:themeColor="text1"/>
        </w:rPr>
        <w:t xml:space="preserve"> as </w:t>
      </w:r>
      <w:r w:rsidR="00D567B0" w:rsidRPr="00E435C0">
        <w:rPr>
          <w:i w:val="0"/>
          <w:iCs w:val="0"/>
          <w:color w:val="000000" w:themeColor="text1"/>
        </w:rPr>
        <w:t>depicted</w:t>
      </w:r>
      <w:r w:rsidR="001C79D9" w:rsidRPr="00E435C0">
        <w:rPr>
          <w:i w:val="0"/>
          <w:iCs w:val="0"/>
          <w:color w:val="000000" w:themeColor="text1"/>
        </w:rPr>
        <w:t xml:space="preserve"> in </w:t>
      </w:r>
      <w:r w:rsidR="009B2E6D" w:rsidRPr="00E435C0">
        <w:rPr>
          <w:i w:val="0"/>
          <w:iCs w:val="0"/>
          <w:color w:val="000000" w:themeColor="text1"/>
        </w:rPr>
        <w:t>F</w:t>
      </w:r>
      <w:r w:rsidR="001C79D9" w:rsidRPr="00E435C0">
        <w:rPr>
          <w:i w:val="0"/>
          <w:iCs w:val="0"/>
          <w:color w:val="000000" w:themeColor="text1"/>
        </w:rPr>
        <w:t>igure 1.</w:t>
      </w:r>
    </w:p>
    <w:p w14:paraId="5A51D88E" w14:textId="77777777" w:rsidR="00E80525" w:rsidRPr="00E435C0" w:rsidRDefault="00344483" w:rsidP="00E80525">
      <w:pPr>
        <w:pStyle w:val="Abstract"/>
        <w:spacing w:line="480" w:lineRule="auto"/>
        <w:ind w:firstLine="720"/>
        <w:rPr>
          <w:color w:val="000000" w:themeColor="text1"/>
          <w:szCs w:val="18"/>
        </w:rPr>
      </w:pPr>
      <w:r w:rsidRPr="00E435C0">
        <w:rPr>
          <w:color w:val="000000" w:themeColor="text1"/>
          <w:szCs w:val="18"/>
        </w:rPr>
        <w:t>The cross-validation analysis conducted in this study reveals the performance of the proposed function</w:t>
      </w:r>
      <w:r w:rsidR="00D277B9" w:rsidRPr="00E435C0">
        <w:rPr>
          <w:color w:val="000000" w:themeColor="text1"/>
          <w:szCs w:val="18"/>
        </w:rPr>
        <w:t xml:space="preserve"> </w:t>
      </w:r>
      <w:r w:rsidRPr="00E435C0">
        <w:rPr>
          <w:color w:val="000000" w:themeColor="text1"/>
          <w:szCs w:val="18"/>
        </w:rPr>
        <w:t>in estimating USGS measured flows</w:t>
      </w:r>
      <w:r w:rsidR="00A45B26" w:rsidRPr="00E435C0">
        <w:rPr>
          <w:color w:val="000000" w:themeColor="text1"/>
          <w:szCs w:val="18"/>
        </w:rPr>
        <w:t xml:space="preserve"> (Figure 3)</w:t>
      </w:r>
      <w:r w:rsidRPr="00E435C0">
        <w:rPr>
          <w:color w:val="000000" w:themeColor="text1"/>
          <w:szCs w:val="18"/>
        </w:rPr>
        <w:t xml:space="preserve">. Our findings indicate that this function offers higher accuracy and less dispersion, as evidenced by a Kling-Gupta efficiency (KGE) of 0.38 and a percent bias (PBIAS) of -16%. In comparison, alternative methods for determining roughness coefficients yielded less accurate results, with KGE values of 0.33 and 0.10, and PBIAS values of -43% and -85% for </w:t>
      </w:r>
      <w:proofErr w:type="spellStart"/>
      <w:r w:rsidRPr="00E435C0">
        <w:rPr>
          <w:color w:val="000000" w:themeColor="text1"/>
          <w:szCs w:val="18"/>
        </w:rPr>
        <w:t>GeoSFM</w:t>
      </w:r>
      <w:proofErr w:type="spellEnd"/>
      <w:r w:rsidRPr="00E435C0">
        <w:rPr>
          <w:color w:val="000000" w:themeColor="text1"/>
          <w:szCs w:val="18"/>
        </w:rPr>
        <w:t xml:space="preserve"> and Kalyanapu et al. (2009), respectively.</w:t>
      </w:r>
    </w:p>
    <w:p w14:paraId="08F1C3FB" w14:textId="227A2194" w:rsidR="00E80525" w:rsidRPr="00E435C0" w:rsidRDefault="00E80525" w:rsidP="00E80525">
      <w:pPr>
        <w:pStyle w:val="Abstract"/>
        <w:spacing w:line="480" w:lineRule="auto"/>
        <w:ind w:firstLine="720"/>
      </w:pPr>
      <w:r w:rsidRPr="00E435C0">
        <w:rPr>
          <w:color w:val="000000" w:themeColor="text1"/>
          <w:szCs w:val="18"/>
        </w:rPr>
        <w:lastRenderedPageBreak/>
        <w:br/>
      </w:r>
      <w:r w:rsidR="00D518F0" w:rsidRPr="00E435C0">
        <w:rPr>
          <w:noProof/>
        </w:rPr>
        <w:drawing>
          <wp:inline distT="0" distB="0" distL="0" distR="0" wp14:anchorId="4266F039" wp14:editId="021AA329">
            <wp:extent cx="5870460" cy="3627127"/>
            <wp:effectExtent l="0" t="0" r="0" b="0"/>
            <wp:docPr id="1186141341" name="Picture 1" descr="A collage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41341" name="Picture 1" descr="A collage of different colored lines&#10;&#10;Description automatically generated"/>
                    <pic:cNvPicPr/>
                  </pic:nvPicPr>
                  <pic:blipFill>
                    <a:blip r:embed="rId11"/>
                    <a:stretch>
                      <a:fillRect/>
                    </a:stretch>
                  </pic:blipFill>
                  <pic:spPr>
                    <a:xfrm>
                      <a:off x="0" y="0"/>
                      <a:ext cx="5870460" cy="3627127"/>
                    </a:xfrm>
                    <a:prstGeom prst="rect">
                      <a:avLst/>
                    </a:prstGeom>
                  </pic:spPr>
                </pic:pic>
              </a:graphicData>
            </a:graphic>
          </wp:inline>
        </w:drawing>
      </w:r>
      <w:r w:rsidRPr="00E435C0">
        <w:rPr>
          <w:b/>
          <w:bCs/>
        </w:rPr>
        <w:t>Figure 3</w:t>
      </w:r>
      <w:r w:rsidRPr="00E435C0">
        <w:t xml:space="preserve"> - </w:t>
      </w:r>
      <w:r w:rsidR="00B467C6" w:rsidRPr="00E435C0">
        <w:t>Measured vs. estimated discharge based on three approaches to estimating floodplain roughness: (a) the Geospatial Stream Flow Model (</w:t>
      </w:r>
      <w:proofErr w:type="spellStart"/>
      <w:r w:rsidR="00B467C6" w:rsidRPr="00E435C0">
        <w:t>GeoSFM</w:t>
      </w:r>
      <w:proofErr w:type="spellEnd"/>
      <w:r w:rsidR="00B467C6" w:rsidRPr="00E435C0">
        <w:t xml:space="preserve">), (b) Kalyanapu et </w:t>
      </w:r>
      <w:proofErr w:type="spellStart"/>
      <w:r w:rsidR="00B467C6" w:rsidRPr="00E435C0">
        <w:t>al’s</w:t>
      </w:r>
      <w:proofErr w:type="spellEnd"/>
      <w:r w:rsidR="00B467C6" w:rsidRPr="00E435C0">
        <w:t xml:space="preserve"> study (2009) on land-use effects on model outputs, and (c) from the function developed in this study (eq.</w:t>
      </w:r>
      <w:r w:rsidR="003623AD" w:rsidRPr="00E435C0">
        <w:t xml:space="preserve"> 2</w:t>
      </w:r>
      <w:r w:rsidR="00B467C6" w:rsidRPr="00E435C0">
        <w:t>).</w:t>
      </w:r>
      <w:r w:rsidRPr="00E435C0">
        <w:t xml:space="preserve"> These were calculated with median velocities and median flow depths per land cover class. Kling-Gupta efficiency (KGE) and percent bias (PBIAS) are reported across all vegetation classes.</w:t>
      </w:r>
    </w:p>
    <w:p w14:paraId="7002F93A" w14:textId="77777777" w:rsidR="00E80525" w:rsidRPr="00E435C0" w:rsidRDefault="00E80525" w:rsidP="00E80525">
      <w:pPr>
        <w:pStyle w:val="Abstract"/>
        <w:spacing w:line="480" w:lineRule="auto"/>
        <w:rPr>
          <w:color w:val="000000" w:themeColor="text1"/>
          <w:szCs w:val="18"/>
        </w:rPr>
      </w:pPr>
    </w:p>
    <w:p w14:paraId="6EB77176" w14:textId="63FC4746" w:rsidR="002F3B11" w:rsidRPr="00E435C0" w:rsidRDefault="002F3B11" w:rsidP="0042413B">
      <w:pPr>
        <w:pStyle w:val="Heading-Main"/>
        <w:spacing w:line="480" w:lineRule="auto"/>
        <w:rPr>
          <w:color w:val="000000" w:themeColor="text1"/>
          <w:kern w:val="0"/>
          <w:szCs w:val="18"/>
        </w:rPr>
      </w:pPr>
      <w:r w:rsidRPr="00E435C0">
        <w:rPr>
          <w:color w:val="000000" w:themeColor="text1"/>
          <w:kern w:val="0"/>
          <w:szCs w:val="18"/>
        </w:rPr>
        <w:t xml:space="preserve">4 </w:t>
      </w:r>
      <w:r w:rsidR="004A7434" w:rsidRPr="00E435C0">
        <w:rPr>
          <w:color w:val="000000" w:themeColor="text1"/>
          <w:kern w:val="0"/>
          <w:szCs w:val="18"/>
        </w:rPr>
        <w:t>Discussion</w:t>
      </w:r>
    </w:p>
    <w:p w14:paraId="19E3C121" w14:textId="7BCAEF3A" w:rsidR="00EB2AFF" w:rsidRPr="00E435C0" w:rsidRDefault="3BE9EA8D" w:rsidP="0042413B">
      <w:pPr>
        <w:pStyle w:val="Abstract"/>
        <w:spacing w:line="480" w:lineRule="auto"/>
        <w:ind w:firstLine="708"/>
      </w:pPr>
      <w:r w:rsidRPr="00E435C0">
        <w:t>Floodplains serve critical functions for society</w:t>
      </w:r>
      <w:r w:rsidR="076620B1" w:rsidRPr="00E435C0">
        <w:t xml:space="preserve"> through </w:t>
      </w:r>
      <w:r w:rsidRPr="00E435C0">
        <w:t xml:space="preserve">dissipation of flood energy, </w:t>
      </w:r>
      <w:r w:rsidR="004279FC" w:rsidRPr="00E435C0">
        <w:t xml:space="preserve">among other functions, </w:t>
      </w:r>
      <w:r w:rsidRPr="00E435C0">
        <w:t>but understanding o</w:t>
      </w:r>
      <w:r w:rsidR="007669BE" w:rsidRPr="00E435C0">
        <w:t>f</w:t>
      </w:r>
      <w:r w:rsidRPr="00E435C0">
        <w:t xml:space="preserve"> floodplain hydraulics contains large uncertainties due </w:t>
      </w:r>
      <w:r w:rsidR="004279FC" w:rsidRPr="00E435C0">
        <w:t xml:space="preserve">in part </w:t>
      </w:r>
      <w:r w:rsidRPr="00E435C0">
        <w:t xml:space="preserve">to limited field observations of floodplain roughness. This study produced new </w:t>
      </w:r>
      <w:r w:rsidRPr="00E435C0">
        <w:lastRenderedPageBreak/>
        <w:t xml:space="preserve">estimates of floodplain roughness coefficients that span the range of the continental United States. The average estimates of floodplain Manning’s </w:t>
      </w:r>
      <w:r w:rsidRPr="00E435C0">
        <w:rPr>
          <w:i/>
          <w:iCs/>
        </w:rPr>
        <w:t>n</w:t>
      </w:r>
      <w:r w:rsidRPr="00E435C0">
        <w:t xml:space="preserve"> calculated in this study </w:t>
      </w:r>
      <w:r w:rsidR="004279FC" w:rsidRPr="00E435C0">
        <w:t xml:space="preserve">were </w:t>
      </w:r>
      <w:r w:rsidRPr="00E435C0">
        <w:t xml:space="preserve">similar to </w:t>
      </w:r>
      <w:r w:rsidR="545446E7" w:rsidRPr="00E435C0">
        <w:rPr>
          <w:i/>
          <w:iCs/>
        </w:rPr>
        <w:t>n</w:t>
      </w:r>
      <w:r w:rsidR="545446E7" w:rsidRPr="00E435C0">
        <w:t xml:space="preserve"> values modeled from </w:t>
      </w:r>
      <w:r w:rsidR="00654D96" w:rsidRPr="00E435C0">
        <w:t>field measurements</w:t>
      </w:r>
      <w:r w:rsidRPr="00E435C0">
        <w:t xml:space="preserve"> </w:t>
      </w:r>
      <w:r w:rsidR="1146E847" w:rsidRPr="00E435C0">
        <w:t xml:space="preserve">of vegetation </w:t>
      </w:r>
      <w:r w:rsidR="343264B0" w:rsidRPr="00E435C0">
        <w:t>features</w:t>
      </w:r>
      <w:r w:rsidRPr="00E435C0">
        <w:t xml:space="preserve"> </w:t>
      </w:r>
      <w:r w:rsidR="00EB2AFF" w:rsidRPr="00E435C0">
        <w:rPr>
          <w:b/>
          <w:bCs/>
        </w:rPr>
        <w:fldChar w:fldCharType="begin"/>
      </w:r>
      <w:r w:rsidR="007358AF" w:rsidRPr="00E435C0">
        <w:instrText xml:space="preserve"> ADDIN ZOTERO_ITEM CSL_CITATION {"citationID":"KKkAkoub","properties":{"formattedCitation":"(Kouwen &amp; Fathi-Moghadam, 2000)","plainCitation":"(Kouwen &amp; Fathi-Moghadam, 2000)","noteIndex":0},"citationItems":[{"id":"e8xyYrIr/vbcc8Cn0","uris":["http://zotero.org/users/9768842/items/IV9LJHFW"],"itemData":{"id":"JYQX3ODA/t5skiosQ","type":"article-journal","abstract":"A physically based model for estimating the resistance coefﬁcient for coniferous trees in openchannel ﬂow is modiﬁed to account for variations in the ﬂexibility between species. The new model is based on the assumption of a linear increase in foliage area with height and a dimensional analysis. It is supported by experiments in air and water. The advantage of the new model over existing methods for estimating resistance factors is its ability to account for the interaction between the vegetation and the ﬂow, taking into account velocity, depth of ﬂow, and vegetative conditions (including type, size, stage of maturity, and density of vegetation). Based on the mathematical model, a table is provided to estimate Manning’s n value for ﬂow through vegetation.","container-title":"Journal of Hydraulic Engineering","DOI":"10.1061/(ASCE)0733-9429(2000)126:10(732)","ISSN":"0733-9429, 1943-7900","issue":"10","journalAbbreviation":"J. Hydraul. Eng.","language":"en","page":"732-740","source":"DOI.org (Crossref)","title":"Friction Factors for Coniferous Trees along Rivers","volume":"126","author":[{"family":"Kouwen","given":"N."},{"family":"Fathi-Moghadam","given":"M."}],"issued":{"date-parts":[["2000",10]]}}}],"schema":"https://github.com/citation-style-language/schema/raw/master/csl-citation.json"} </w:instrText>
      </w:r>
      <w:r w:rsidR="00EB2AFF" w:rsidRPr="00E435C0">
        <w:rPr>
          <w:b/>
          <w:bCs/>
        </w:rPr>
        <w:fldChar w:fldCharType="separate"/>
      </w:r>
      <w:r w:rsidR="009F5856" w:rsidRPr="00E435C0">
        <w:t>(Kouwen &amp; Fathi-Moghadam, 2000)</w:t>
      </w:r>
      <w:r w:rsidR="00EB2AFF" w:rsidRPr="00E435C0">
        <w:rPr>
          <w:b/>
          <w:bCs/>
        </w:rPr>
        <w:fldChar w:fldCharType="end"/>
      </w:r>
      <w:r w:rsidRPr="00E435C0">
        <w:t xml:space="preserve"> and the values in Chow’s look-up table </w:t>
      </w:r>
      <w:r w:rsidR="00EB2AFF" w:rsidRPr="00E435C0">
        <w:rPr>
          <w:b/>
          <w:bCs/>
        </w:rPr>
        <w:fldChar w:fldCharType="begin"/>
      </w:r>
      <w:r w:rsidR="00EB2AFF" w:rsidRPr="00E435C0">
        <w:instrText xml:space="preserve"> ADDIN ZOTERO_ITEM CSL_CITATION {"citationID":"8Er6kvGZ","properties":{"formattedCitation":"(Chow, 1959)","plainCitation":"(Chow, 1959)","noteIndex":0},"citationItems":[{"id":214,"uris":["http://zotero.org/users/9768842/items/Y9UZYWTE"],"itemData":{"id":214,"type":"webpage","title":"Chow, V. T. (1959). Open-channel hydraulics. McGraw-Hill, New York - Google Search","author":[{"family":"Chow","given":"Ven Te"}],"accessed":{"date-parts":[["2022",8,28]]},"issued":{"date-parts":[["1959"]]}}}],"schema":"https://github.com/citation-style-language/schema/raw/master/csl-citation.json"} </w:instrText>
      </w:r>
      <w:r w:rsidR="00EB2AFF" w:rsidRPr="00E435C0">
        <w:rPr>
          <w:b/>
          <w:bCs/>
        </w:rPr>
        <w:fldChar w:fldCharType="separate"/>
      </w:r>
      <w:r w:rsidRPr="00E435C0">
        <w:t>(Chow, 1959)</w:t>
      </w:r>
      <w:r w:rsidR="00EB2AFF" w:rsidRPr="00E435C0">
        <w:rPr>
          <w:b/>
          <w:bCs/>
        </w:rPr>
        <w:fldChar w:fldCharType="end"/>
      </w:r>
      <w:r w:rsidRPr="00E435C0">
        <w:t xml:space="preserve">. Chow </w:t>
      </w:r>
      <w:r w:rsidR="004279FC" w:rsidRPr="00E435C0">
        <w:t xml:space="preserve">identified </w:t>
      </w:r>
      <w:r w:rsidRPr="00E435C0">
        <w:t xml:space="preserve">the range of average </w:t>
      </w:r>
      <w:r w:rsidRPr="00E435C0">
        <w:rPr>
          <w:i/>
          <w:iCs/>
        </w:rPr>
        <w:t>n</w:t>
      </w:r>
      <w:r w:rsidRPr="00E435C0">
        <w:t xml:space="preserve"> values for floodplains as being from 0.040 (in cleared land with stumps) up to 0.150 (for dense willows). In comparison, the average </w:t>
      </w:r>
      <w:r w:rsidRPr="00E435C0">
        <w:rPr>
          <w:i/>
          <w:iCs/>
        </w:rPr>
        <w:t>n</w:t>
      </w:r>
      <w:r w:rsidRPr="00E435C0">
        <w:t xml:space="preserve"> estimates </w:t>
      </w:r>
      <w:r w:rsidR="002A59C7" w:rsidRPr="00E435C0">
        <w:t xml:space="preserve">in this dataset </w:t>
      </w:r>
      <w:r w:rsidRPr="00E435C0">
        <w:t xml:space="preserve">were 0.060 </w:t>
      </w:r>
      <w:r w:rsidR="00394686" w:rsidRPr="00E435C0">
        <w:t>for</w:t>
      </w:r>
      <w:r w:rsidRPr="00E435C0">
        <w:t xml:space="preserve"> low canopy height and low levels of biomass, and 0.090 for high canopy height and biomass. </w:t>
      </w:r>
      <w:proofErr w:type="spellStart"/>
      <w:r w:rsidRPr="00E435C0">
        <w:t>Kouwen</w:t>
      </w:r>
      <w:proofErr w:type="spellEnd"/>
      <w:r w:rsidR="36E2C2DC" w:rsidRPr="00E435C0">
        <w:t xml:space="preserve"> and Fathi-Moghadam</w:t>
      </w:r>
      <w:r w:rsidRPr="00E435C0">
        <w:t>’s</w:t>
      </w:r>
      <w:r w:rsidR="676E0DA8" w:rsidRPr="00E435C0">
        <w:t xml:space="preserve"> (2000)</w:t>
      </w:r>
      <w:r w:rsidRPr="00E435C0">
        <w:t xml:space="preserve"> study also </w:t>
      </w:r>
      <w:r w:rsidR="000F1330" w:rsidRPr="00E435C0">
        <w:t xml:space="preserve">presented </w:t>
      </w:r>
      <w:r w:rsidRPr="00E435C0">
        <w:t xml:space="preserve">mean values of </w:t>
      </w:r>
      <w:r w:rsidRPr="00E435C0">
        <w:rPr>
          <w:i/>
          <w:iCs/>
        </w:rPr>
        <w:t>n</w:t>
      </w:r>
      <w:r w:rsidRPr="00E435C0">
        <w:t xml:space="preserve"> for </w:t>
      </w:r>
      <w:r w:rsidR="3E8084BE" w:rsidRPr="00E435C0">
        <w:t xml:space="preserve">four </w:t>
      </w:r>
      <w:r w:rsidRPr="00E435C0">
        <w:t>tree types that range between 0.100 for high velocity flows (2 m/s) and 0.200 for very low velocity flows (0.1 m/s) for submerged conditions (</w:t>
      </w:r>
      <w:proofErr w:type="spellStart"/>
      <w:r w:rsidRPr="00E435C0">
        <w:rPr>
          <w:i/>
          <w:iCs/>
        </w:rPr>
        <w:t>z</w:t>
      </w:r>
      <w:r w:rsidRPr="00E435C0">
        <w:rPr>
          <w:i/>
          <w:iCs/>
          <w:vertAlign w:val="subscript"/>
        </w:rPr>
        <w:t>pf</w:t>
      </w:r>
      <w:proofErr w:type="spellEnd"/>
      <w:r w:rsidRPr="00E435C0">
        <w:t>/</w:t>
      </w:r>
      <w:proofErr w:type="spellStart"/>
      <w:r w:rsidRPr="00E435C0">
        <w:rPr>
          <w:i/>
          <w:iCs/>
        </w:rPr>
        <w:t>h</w:t>
      </w:r>
      <w:r w:rsidRPr="00E435C0">
        <w:rPr>
          <w:i/>
          <w:iCs/>
          <w:vertAlign w:val="subscript"/>
        </w:rPr>
        <w:t>veg</w:t>
      </w:r>
      <w:proofErr w:type="spellEnd"/>
      <w:r w:rsidRPr="00E435C0">
        <w:t>=1)</w:t>
      </w:r>
      <w:r w:rsidR="004279FC" w:rsidRPr="00E435C0">
        <w:t>,</w:t>
      </w:r>
      <w:r w:rsidRPr="00E435C0">
        <w:t xml:space="preserve"> dropping down to a range of 0.030 to 0.070 for low inundation (</w:t>
      </w:r>
      <w:proofErr w:type="spellStart"/>
      <w:r w:rsidRPr="00E435C0">
        <w:rPr>
          <w:i/>
          <w:iCs/>
        </w:rPr>
        <w:t>z</w:t>
      </w:r>
      <w:r w:rsidRPr="00E435C0">
        <w:rPr>
          <w:i/>
          <w:iCs/>
          <w:vertAlign w:val="subscript"/>
        </w:rPr>
        <w:t>pf</w:t>
      </w:r>
      <w:proofErr w:type="spellEnd"/>
      <w:r w:rsidRPr="00E435C0">
        <w:t>/</w:t>
      </w:r>
      <w:proofErr w:type="spellStart"/>
      <w:r w:rsidRPr="00E435C0">
        <w:rPr>
          <w:i/>
          <w:iCs/>
        </w:rPr>
        <w:t>h</w:t>
      </w:r>
      <w:r w:rsidRPr="00E435C0">
        <w:rPr>
          <w:i/>
          <w:iCs/>
          <w:vertAlign w:val="subscript"/>
        </w:rPr>
        <w:t>veg</w:t>
      </w:r>
      <w:proofErr w:type="spellEnd"/>
      <w:r w:rsidRPr="00E435C0">
        <w:t xml:space="preserve">=0.1). </w:t>
      </w:r>
      <w:r w:rsidR="00C76F7E" w:rsidRPr="00E435C0">
        <w:t xml:space="preserve">A </w:t>
      </w:r>
      <w:r w:rsidRPr="00E435C0">
        <w:t xml:space="preserve">similar pattern </w:t>
      </w:r>
      <w:r w:rsidR="00C76F7E" w:rsidRPr="00E435C0">
        <w:t xml:space="preserve">was observed in </w:t>
      </w:r>
      <w:r w:rsidRPr="00E435C0">
        <w:t xml:space="preserve">mean values of floodplain </w:t>
      </w:r>
      <w:r w:rsidRPr="00E435C0">
        <w:rPr>
          <w:i/>
          <w:iCs/>
        </w:rPr>
        <w:t>n</w:t>
      </w:r>
      <w:r w:rsidR="004279FC" w:rsidRPr="00E435C0">
        <w:rPr>
          <w:i/>
          <w:iCs/>
        </w:rPr>
        <w:t xml:space="preserve"> </w:t>
      </w:r>
      <w:r w:rsidR="004279FC" w:rsidRPr="00E435C0">
        <w:t>in this study</w:t>
      </w:r>
      <w:r w:rsidR="00C76F7E" w:rsidRPr="00E435C0">
        <w:rPr>
          <w:i/>
          <w:iCs/>
        </w:rPr>
        <w:t xml:space="preserve"> </w:t>
      </w:r>
      <w:r w:rsidR="00C76F7E" w:rsidRPr="00E435C0">
        <w:t>(Figure 2)</w:t>
      </w:r>
      <w:r w:rsidRPr="00E435C0">
        <w:t xml:space="preserve">, ranging from 0.030 for low inundation and comparable velocity (V = 1-3 m/s), up to an average of 0.250 for low velocity (V &lt; 1 m/s) and high inundation fraction. </w:t>
      </w:r>
      <w:r w:rsidR="001E233F" w:rsidRPr="00E435C0">
        <w:t xml:space="preserve">The approach presented here has the advantage of applying </w:t>
      </w:r>
      <w:r w:rsidR="00477987" w:rsidRPr="00E435C0">
        <w:t xml:space="preserve">global, </w:t>
      </w:r>
      <w:r w:rsidR="001C1F1E" w:rsidRPr="00E435C0">
        <w:t>remotely sensed</w:t>
      </w:r>
      <w:r w:rsidR="001E233F" w:rsidRPr="00E435C0">
        <w:t xml:space="preserve"> biomass</w:t>
      </w:r>
      <w:r w:rsidR="00477987" w:rsidRPr="00E435C0">
        <w:t xml:space="preserve"> datasets</w:t>
      </w:r>
      <w:r w:rsidR="00F3557E" w:rsidRPr="00E435C0">
        <w:t xml:space="preserve">, compared with </w:t>
      </w:r>
      <w:proofErr w:type="spellStart"/>
      <w:r w:rsidRPr="00E435C0">
        <w:t>Kouwen</w:t>
      </w:r>
      <w:proofErr w:type="spellEnd"/>
      <w:r w:rsidR="41A4B5DD" w:rsidRPr="00E435C0">
        <w:t xml:space="preserve"> and Fathi-Moghadam</w:t>
      </w:r>
      <w:r w:rsidRPr="00E435C0">
        <w:t>’s vegetation index</w:t>
      </w:r>
      <w:r w:rsidR="00F3557E" w:rsidRPr="00E435C0">
        <w:t xml:space="preserve">, which requires local measurements of </w:t>
      </w:r>
      <w:r w:rsidRPr="00E435C0">
        <w:t xml:space="preserve">frequency, mass, and </w:t>
      </w:r>
      <w:r w:rsidR="003B6720" w:rsidRPr="00E435C0">
        <w:t>height</w:t>
      </w:r>
      <w:r w:rsidR="001F1133" w:rsidRPr="00E435C0">
        <w:t xml:space="preserve"> of the tree</w:t>
      </w:r>
      <w:r w:rsidR="00AD0D7B" w:rsidRPr="00E435C0">
        <w:t>s</w:t>
      </w:r>
      <w:r w:rsidRPr="00E435C0">
        <w:t>.</w:t>
      </w:r>
    </w:p>
    <w:p w14:paraId="5174D798" w14:textId="4C1FA6CA" w:rsidR="00EB2AFF" w:rsidRPr="00E435C0" w:rsidRDefault="00477987" w:rsidP="24003195">
      <w:pPr>
        <w:pStyle w:val="Abstract"/>
        <w:spacing w:line="480" w:lineRule="auto"/>
        <w:ind w:firstLine="708"/>
      </w:pPr>
      <w:r w:rsidRPr="00E435C0">
        <w:t>F</w:t>
      </w:r>
      <w:r w:rsidR="3BE9EA8D" w:rsidRPr="00E435C0">
        <w:t>ield observations reveal</w:t>
      </w:r>
      <w:r w:rsidRPr="00E435C0">
        <w:t>ed</w:t>
      </w:r>
      <w:r w:rsidR="3BE9EA8D" w:rsidRPr="00E435C0">
        <w:t xml:space="preserve"> that Manning’s </w:t>
      </w:r>
      <w:r w:rsidR="3BE9EA8D" w:rsidRPr="00E435C0">
        <w:rPr>
          <w:i/>
          <w:iCs/>
        </w:rPr>
        <w:t>n</w:t>
      </w:r>
      <w:r w:rsidR="3BE9EA8D" w:rsidRPr="00E435C0">
        <w:t xml:space="preserve"> in floodplains </w:t>
      </w:r>
      <w:r w:rsidR="004F347D" w:rsidRPr="00E435C0">
        <w:t>was</w:t>
      </w:r>
      <w:r w:rsidR="3BE9EA8D" w:rsidRPr="00E435C0">
        <w:t xml:space="preserve"> generally lower at higher velocities</w:t>
      </w:r>
      <w:r w:rsidR="004F347D" w:rsidRPr="00E435C0">
        <w:t xml:space="preserve"> than at lower velocities</w:t>
      </w:r>
      <w:r w:rsidR="3BE9EA8D" w:rsidRPr="00E435C0">
        <w:t xml:space="preserve">. Even though in practice Manning’s </w:t>
      </w:r>
      <w:r w:rsidR="3BE9EA8D" w:rsidRPr="00E435C0">
        <w:rPr>
          <w:i/>
          <w:iCs/>
        </w:rPr>
        <w:t>n</w:t>
      </w:r>
      <w:r w:rsidR="3BE9EA8D" w:rsidRPr="00E435C0">
        <w:t xml:space="preserve"> is </w:t>
      </w:r>
      <w:r w:rsidR="7D08EDF3" w:rsidRPr="00E435C0">
        <w:t xml:space="preserve">often </w:t>
      </w:r>
      <w:r w:rsidR="3BE9EA8D" w:rsidRPr="00E435C0">
        <w:t>assumed to be</w:t>
      </w:r>
      <w:r w:rsidR="1268BBB6" w:rsidRPr="00E435C0">
        <w:t xml:space="preserve"> a</w:t>
      </w:r>
      <w:r w:rsidR="3BE9EA8D" w:rsidRPr="00E435C0">
        <w:t xml:space="preserve"> constant </w:t>
      </w:r>
      <w:r w:rsidR="58BC2AB9" w:rsidRPr="00E435C0">
        <w:t xml:space="preserve">value </w:t>
      </w:r>
      <w:r w:rsidR="3BE9EA8D" w:rsidRPr="00E435C0">
        <w:t xml:space="preserve">solely </w:t>
      </w:r>
      <w:r w:rsidR="00090484" w:rsidRPr="00E435C0">
        <w:t xml:space="preserve">determined </w:t>
      </w:r>
      <w:r w:rsidR="3BE9EA8D" w:rsidRPr="00E435C0">
        <w:t xml:space="preserve">based on the characteristics of the surface, in reality it has been demonstrated that </w:t>
      </w:r>
      <w:r w:rsidR="3BE9EA8D" w:rsidRPr="00E435C0">
        <w:rPr>
          <w:i/>
          <w:iCs/>
        </w:rPr>
        <w:t>n</w:t>
      </w:r>
      <w:r w:rsidR="3BE9EA8D" w:rsidRPr="00E435C0">
        <w:t xml:space="preserve"> varies with discharge </w:t>
      </w:r>
      <w:r w:rsidR="00EB2AFF" w:rsidRPr="00E435C0">
        <w:rPr>
          <w:color w:val="2B579A"/>
        </w:rPr>
        <w:fldChar w:fldCharType="begin"/>
      </w:r>
      <w:r w:rsidR="007358AF" w:rsidRPr="00E435C0">
        <w:instrText xml:space="preserve"> ADDIN ZOTERO_ITEM CSL_CITATION {"citationID":"QiwCNOJ0","properties":{"formattedCitation":"(Box et al., 2021; Chow, 1959; R. Ferguson, 2013)","plainCitation":"(Box et al., 2021; Chow, 1959; R. Ferguson, 2013)","noteIndex":0},"citationItems":[{"id":"e8xyYrIr/Hbfp9FtW","uris":["http://zotero.org/users/9768842/items/37K8PDUN"],"itemData":{"id":205,"type":"article-journal","abstract":"River flows are greatly influenced by floodplain vegetation with implications on hydrological and hydraulic conditions from cross-sectional to river reach scales. Flow models need to reliably reflect changes in the riverine environment, such as vegetation growth associated with altered flow regimes, increased sediment loads and eutrophication. Leaf area index (LAI) based approaches are increasingly used as tools to predict the flow resistance caused by natural vegetation. However, current LAI-based modelling involves uncertainty at low and high vegetation densities and flow velocities due to a lack of research and validation at the outer ranges. The aim of this paper is to investigate the flow resistance for a mixture of flexible floodplain vegetation consisting of woody plants and understory grasses of low to high densities (LAI = 1–5) over a wide range of mean flow velocities (0.05–1.2 m/s) at low relative submergences of 1–2. A novel flume setup was designed by using high-accuracy pressure sensors to measure flow resistance and force sensors to measure plant drag forces. Flow resistance decreased by 35–90% when the submergence H/hv increased from 1 to 2, which is a highly relevant range for floodplain flows. The results provided new evidence that LAI-based modelling of vegetative friction factors can be reliably extended from low to high LAI values for non-submerged vegetation. However, adjustments to existing LAI-based approaches are required for water stages higher than the vegetation height. Furthermore, the friction by the understory grasses cannot be neglected as often assumed in literature especially for cases of low plant densities and low relative submergences.","container-title":"Journal of Hydrology","DOI":"10.1016/j.jhydrol.2021.126593","ISSN":"0022-1694","journalAbbreviation":"Journal of Hydrology","language":"en","page":"126593","source":"ScienceDirect","title":"Flow resistance of floodplain vegetation mixtures for modelling river flows","volume":"601","author":[{"family":"Box","given":"Walter"},{"family":"Järvelä","given":"Juha"},{"family":"Västilä","given":"Kaisa"}],"issued":{"date-parts":[["2021",10,1]]}}},{"id":214,"uris":["http://zotero.org/users/9768842/items/Y9UZYWTE"],"itemData":{"id":214,"type":"webpage","title":"Chow, V. T. (1959). Open-channel hydraulics. McGraw-Hill, New York - Google Search","author":[{"family":"Chow","given":"Ven Te"}],"accessed":{"date-parts":[["2022",8,28]]},"issued":{"date-parts":[["1959"]]}}},{"id":"e8xyYrIr/JLQIblhF","uris":["http://zotero.org/users/9768842/items/3SEZNL5R"],"itemData":{"id":"AwLvqBt3/MkAidk8O","type":"chapter","container-title":"Treatise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00EB2AFF" w:rsidRPr="00E435C0">
        <w:rPr>
          <w:color w:val="2B579A"/>
        </w:rPr>
        <w:fldChar w:fldCharType="separate"/>
      </w:r>
      <w:r w:rsidR="00D4722B" w:rsidRPr="00E435C0">
        <w:t>(Box et al., 2021; Chow, 1959; R. Ferguson, 2013)</w:t>
      </w:r>
      <w:r w:rsidR="00EB2AFF" w:rsidRPr="00E435C0">
        <w:rPr>
          <w:color w:val="2B579A"/>
        </w:rPr>
        <w:fldChar w:fldCharType="end"/>
      </w:r>
      <w:r w:rsidR="3BE9EA8D" w:rsidRPr="00E435C0">
        <w:t xml:space="preserve">. </w:t>
      </w:r>
      <w:r w:rsidR="00EB2AFF" w:rsidRPr="00E435C0">
        <w:rPr>
          <w:color w:val="2B579A"/>
        </w:rPr>
        <w:fldChar w:fldCharType="begin"/>
      </w:r>
      <w:r w:rsidR="00EB2AFF" w:rsidRPr="00E435C0">
        <w:instrText xml:space="preserve"> ADDIN ZOTERO_ITEM CSL_CITATION {"citationID":"CHfPMMFG","properties":{"formattedCitation":"(\\uc0\\u8220{}USGS Data Series 668: Manning\\uc0\\u8217{}s Roughness Coefficients for Illinois Streams,\\uc0\\u8221{} n.d.)","plainCitation":"(“USGS Data Series 668: Manning’s Roughness Coefficients for Illinois Streams,” n.d.)","dontUpdate":true,"noteIndex":0},"citationItems":[{"id":201,"uris":["http://zotero.org/users/9768842/items/MJJH52Z9"],"itemData":{"id":201,"type":"webpage","title":"USGS Data Series 668: Manning's Roughness Coefficients for Illinois Streams","URL":"https://pubs.usgs.gov/ds/668/pdf/DataSeries_668_2.pdf","author":[{"family":"USGS","given":""}],"accessed":{"date-parts":[["2022",9,29]]},"issued":{"date-parts":[["2012"]]}}}],"schema":"https://github.com/citation-style-language/schema/raw/master/csl-citation.json"} </w:instrText>
      </w:r>
      <w:r w:rsidR="00EB2AFF" w:rsidRPr="00E435C0">
        <w:rPr>
          <w:color w:val="2B579A"/>
        </w:rPr>
        <w:fldChar w:fldCharType="end"/>
      </w:r>
      <w:r w:rsidR="3BE9EA8D" w:rsidRPr="00E435C0">
        <w:t xml:space="preserve">In most river channels, Manning’s </w:t>
      </w:r>
      <w:r w:rsidR="3BE9EA8D" w:rsidRPr="00E435C0">
        <w:rPr>
          <w:i/>
          <w:iCs/>
        </w:rPr>
        <w:t>n</w:t>
      </w:r>
      <w:r w:rsidR="3BE9EA8D" w:rsidRPr="00E435C0">
        <w:t xml:space="preserve"> decreases as discharge and stage increase due to lower roughness along the banks and the submergence of bed forms with increasing flow depths </w:t>
      </w:r>
      <w:r w:rsidR="00EB2AFF" w:rsidRPr="00E435C0">
        <w:fldChar w:fldCharType="begin"/>
      </w:r>
      <w:r w:rsidR="00EB2AFF" w:rsidRPr="00E435C0">
        <w:instrText xml:space="preserve"> ADDIN ZOTERO_ITEM CSL_CITATION {"citationID":"sxPmqktj","properties":{"formattedCitation":"(USGS, 2012)","plainCitation":"(USGS, 2012)","noteIndex":0},"citationItems":[{"id":201,"uris":["http://zotero.org/users/9768842/items/MJJH52Z9"],"itemData":{"id":201,"type":"webpage","title":"USGS Data Series 668: Manning's Roughness Coefficients for Illinois Streams","URL":"https://pubs.usgs.gov/ds/668/pdf/DataSeries_668_2.pdf","author":[{"family":"USGS","given":""}],"accessed":{"date-parts":[["2022",9,29]]},"issued":{"date-parts":[["2012"]]}}}],"schema":"https://github.com/citation-style-language/schema/raw/master/csl-citation.json"} </w:instrText>
      </w:r>
      <w:r w:rsidR="00EB2AFF" w:rsidRPr="00E435C0">
        <w:fldChar w:fldCharType="separate"/>
      </w:r>
      <w:r w:rsidR="3BE9EA8D" w:rsidRPr="00E435C0">
        <w:t>(USGS, 2012)</w:t>
      </w:r>
      <w:r w:rsidR="00EB2AFF" w:rsidRPr="00E435C0">
        <w:fldChar w:fldCharType="end"/>
      </w:r>
      <w:r w:rsidR="3BE9EA8D" w:rsidRPr="00E435C0">
        <w:t xml:space="preserve">. This phenomenon is also consistent with the long history of roughness in pipe </w:t>
      </w:r>
      <w:r w:rsidR="3BE9EA8D" w:rsidRPr="00E435C0">
        <w:lastRenderedPageBreak/>
        <w:t>flow</w:t>
      </w:r>
      <w:r w:rsidR="076620B1" w:rsidRPr="00E435C0">
        <w:t xml:space="preserve"> studies</w:t>
      </w:r>
      <w:r w:rsidR="3BE9EA8D" w:rsidRPr="00E435C0">
        <w:t xml:space="preserve"> </w:t>
      </w:r>
      <w:r w:rsidR="00EB2AFF" w:rsidRPr="00E435C0">
        <w:fldChar w:fldCharType="begin"/>
      </w:r>
      <w:r w:rsidR="00EB2AFF" w:rsidRPr="00E435C0">
        <w:instrText xml:space="preserve"> ADDIN ZOTERO_ITEM CSL_CITATION {"citationID":"7SacYaKV","properties":{"formattedCitation":"(Rouse, 1943)","plainCitation":"(Rouse, 1943)","noteIndex":0},"citationItems":[{"id":490,"uris":["http://zotero.org/users/9768842/items/LF3YXEYT"],"itemData":{"id":490,"type":"article-journal","container-title":"Proceedings Second Hydraulic Conference","title":"Evaluation of Boundary Roughness","volume":"University of Iowa Bulletin 27","author":[{"family":"Rouse","given":"Hunter"}],"issued":{"date-parts":[["1943"]]}}}],"schema":"https://github.com/citation-style-language/schema/raw/master/csl-citation.json"} </w:instrText>
      </w:r>
      <w:r w:rsidR="00EB2AFF" w:rsidRPr="00E435C0">
        <w:fldChar w:fldCharType="separate"/>
      </w:r>
      <w:r w:rsidR="3BE9EA8D" w:rsidRPr="00E435C0">
        <w:t>(Rouse, 1943)</w:t>
      </w:r>
      <w:r w:rsidR="00EB2AFF" w:rsidRPr="00E435C0">
        <w:fldChar w:fldCharType="end"/>
      </w:r>
      <w:r w:rsidR="3BE9EA8D" w:rsidRPr="00E435C0">
        <w:t xml:space="preserve">. </w:t>
      </w:r>
      <w:r w:rsidR="0054405F" w:rsidRPr="00E435C0">
        <w:t>Like</w:t>
      </w:r>
      <w:r w:rsidR="00826C9E" w:rsidRPr="00E435C0">
        <w:t xml:space="preserve"> river channels, where previous research has shown that flow and velocity tend to have an inverse relationship with flow resistance, our calculations demonstrate a similar pattern in floodplains. This alignment with existing research suggests that flow and velocity in both river channels and floodplains exhibit an inverse relationship with flow resistance</w:t>
      </w:r>
      <w:r w:rsidR="3BE9EA8D" w:rsidRPr="00E435C0">
        <w:t xml:space="preserve"> </w:t>
      </w:r>
      <w:r w:rsidR="00EB2AFF" w:rsidRPr="00E435C0">
        <w:fldChar w:fldCharType="begin"/>
      </w:r>
      <w:r w:rsidR="007358AF" w:rsidRPr="00E435C0">
        <w:instrText xml:space="preserve"> ADDIN ZOTERO_ITEM CSL_CITATION {"citationID":"nUxqDQj2","properties":{"formattedCitation":"(Chow, 1959; R. Ferguson, 2013)","plainCitation":"(Chow, 1959; R. Ferguson, 2013)","noteIndex":0},"citationItems":[{"id":214,"uris":["http://zotero.org/users/9768842/items/Y9UZYWTE"],"itemData":{"id":214,"type":"webpage","title":"Chow, V. T. (1959). Open-channel hydraulics. McGraw-Hill, New York - Google Search","author":[{"family":"Chow","given":"Ven Te"}],"accessed":{"date-parts":[["2022",8,28]]},"issued":{"date-parts":[["1959"]]}}},{"id":"e8xyYrIr/JLQIblhF","uris":["http://zotero.org/users/9768842/items/3SEZNL5R"],"itemData":{"id":"nr54bgPg/zldkwaNN","type":"chapter","container-title":"Treatise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00EB2AFF" w:rsidRPr="00E435C0">
        <w:fldChar w:fldCharType="separate"/>
      </w:r>
      <w:r w:rsidR="00D4722B" w:rsidRPr="00E435C0">
        <w:t>(Chow, 1959; R. Ferguson, 2013)</w:t>
      </w:r>
      <w:r w:rsidR="00EB2AFF" w:rsidRPr="00E435C0">
        <w:fldChar w:fldCharType="end"/>
      </w:r>
      <w:r w:rsidR="74075A78" w:rsidRPr="00E435C0">
        <w:t xml:space="preserve">. </w:t>
      </w:r>
      <w:r w:rsidR="5D62D9CE" w:rsidRPr="00E435C0">
        <w:t xml:space="preserve">Mechanistically, the inverse relationship could be a result of higher roughness reducing velocities, or the </w:t>
      </w:r>
      <w:r w:rsidR="2A89ED7F" w:rsidRPr="00E435C0">
        <w:t xml:space="preserve">bending </w:t>
      </w:r>
      <w:r w:rsidR="5D62D9CE" w:rsidRPr="00E435C0">
        <w:t xml:space="preserve">of </w:t>
      </w:r>
      <w:r w:rsidR="34844AD4" w:rsidRPr="00E435C0">
        <w:t>flexibl</w:t>
      </w:r>
      <w:r w:rsidR="30F083E3" w:rsidRPr="00E435C0">
        <w:t>e vegetation that reduces roughness</w:t>
      </w:r>
      <w:r w:rsidR="34844AD4" w:rsidRPr="00E435C0">
        <w:t xml:space="preserve"> at </w:t>
      </w:r>
      <w:r w:rsidR="5D62D9CE" w:rsidRPr="00E435C0">
        <w:t>higher velocities</w:t>
      </w:r>
      <w:r w:rsidR="6CDF9829" w:rsidRPr="00E435C0">
        <w:t xml:space="preserve">. </w:t>
      </w:r>
      <w:r w:rsidR="32D97020" w:rsidRPr="00E435C0">
        <w:t xml:space="preserve">Datasets presented herein are inadequate for determining the source of the relationship. </w:t>
      </w:r>
      <w:r w:rsidR="5D62D9CE" w:rsidRPr="00E435C0">
        <w:t xml:space="preserve"> </w:t>
      </w:r>
    </w:p>
    <w:p w14:paraId="0A7FBC70" w14:textId="2CE23094" w:rsidR="00EB2AFF" w:rsidRPr="00E435C0" w:rsidRDefault="00090484" w:rsidP="0042413B">
      <w:pPr>
        <w:pStyle w:val="Abstract"/>
        <w:spacing w:line="480" w:lineRule="auto"/>
        <w:ind w:firstLine="708"/>
      </w:pPr>
      <w:r w:rsidRPr="00E435C0">
        <w:t>T</w:t>
      </w:r>
      <w:r w:rsidR="3BE9EA8D" w:rsidRPr="00E435C0">
        <w:t xml:space="preserve">his work demonstrated that GEDI’s vegetation characteristics can be used to estimate floodplain roughness. Vegetation inundation fraction was an important predictor of Manning’s </w:t>
      </w:r>
      <w:r w:rsidR="3BE9EA8D" w:rsidRPr="00E435C0">
        <w:rPr>
          <w:i/>
          <w:iCs/>
        </w:rPr>
        <w:t>n</w:t>
      </w:r>
      <w:r w:rsidR="004A1669" w:rsidRPr="00E435C0">
        <w:t xml:space="preserve">, as </w:t>
      </w:r>
      <w:r w:rsidR="3BE9EA8D" w:rsidRPr="00E435C0">
        <w:t xml:space="preserve">demonstrated </w:t>
      </w:r>
      <w:r w:rsidR="35CECA2E" w:rsidRPr="00E435C0">
        <w:t>in other settings</w:t>
      </w:r>
      <w:r w:rsidR="3BE9EA8D" w:rsidRPr="00E435C0">
        <w:t xml:space="preserve"> </w:t>
      </w:r>
      <w:r w:rsidR="00EB2AFF" w:rsidRPr="00E435C0">
        <w:fldChar w:fldCharType="begin"/>
      </w:r>
      <w:r w:rsidR="00EB2AFF" w:rsidRPr="00E435C0">
        <w:instrText xml:space="preserve"> ADDIN ZOTERO_ITEM CSL_CITATION {"citationID":"qlwxEtgx","properties":{"formattedCitation":"(Nepf, 2012)","plainCitation":"(Nepf, 2012)","noteIndex":0},"citationItems":[{"id":209,"uris":["http://zotero.org/users/9768842/items/L4Q9VHBU"],"itemData":{"id":209,"type":"article-journal","abstract":"This review describes mean and turbulent flow and mass transport in the presence of aquatic vegetation. Within emergent canopies, the turbulent length scales are set by the stem diameter and spacing, and the mean flow is determined by the distribution of the canopy frontal area. Near sparse submerged canopies, the bed roughness and near-bed turbulence are enhanced, but the velocity profile remains logarithmic. For dense submerged canopies, the drag discontinuity at the top of the canopy generates a shear layer, which contains canopy-scale vortices that control the exchange of mass and momentum between the canopy and the overflow. The canopy-scale vortices penetrate a finite distance into the canopy, δ\n              e\n              , set by the canopy drag. This length scale segregates the canopy into two regions: The upper canopy experiences energetic turbulent transport, controlled by canopy-scale vortices, whereas the lower canopy experiences diminished transport, associated with the smaller stem-scale turbulence. The canopy-scale vortices induce a waving motion in flexible blades, called a monami.","container-title":"Annual Review of Fluid Mechanics","DOI":"10.1146/annurev-fluid-120710-101048","ISSN":"0066-4189, 1545-4479","issue":"1","journalAbbreviation":"Annu. Rev. Fluid Mech.","language":"en","note":"number: 1","page":"123-142","source":"DOI.org (Crossref)","title":"Flow and Transport in Regions with Aquatic Vegetation","volume":"44","author":[{"family":"Nepf","given":"Heidi M."}],"issued":{"date-parts":[["2012",1,21]]}}}],"schema":"https://github.com/citation-style-language/schema/raw/master/csl-citation.json"} </w:instrText>
      </w:r>
      <w:r w:rsidR="00EB2AFF" w:rsidRPr="00E435C0">
        <w:fldChar w:fldCharType="separate"/>
      </w:r>
      <w:r w:rsidR="3BE9EA8D" w:rsidRPr="00E435C0">
        <w:t>(Nepf, 2012)</w:t>
      </w:r>
      <w:r w:rsidR="00EB2AFF" w:rsidRPr="00E435C0">
        <w:fldChar w:fldCharType="end"/>
      </w:r>
      <w:r w:rsidR="3BE9EA8D" w:rsidRPr="00E435C0">
        <w:t xml:space="preserve">. In addition, </w:t>
      </w:r>
      <w:r w:rsidR="00D92A04" w:rsidRPr="00E435C0">
        <w:t xml:space="preserve">this </w:t>
      </w:r>
      <w:r w:rsidR="3BE9EA8D" w:rsidRPr="00E435C0">
        <w:t xml:space="preserve">national Manning’s </w:t>
      </w:r>
      <w:r w:rsidR="3BE9EA8D" w:rsidRPr="00E435C0">
        <w:rPr>
          <w:i/>
          <w:iCs/>
        </w:rPr>
        <w:t>n</w:t>
      </w:r>
      <w:r w:rsidR="3BE9EA8D" w:rsidRPr="00E435C0">
        <w:t xml:space="preserve"> database reflects how floodplain roughness increases with aboveground biomass</w:t>
      </w:r>
      <w:r w:rsidR="6074E857" w:rsidRPr="00E435C0">
        <w:t>,</w:t>
      </w:r>
      <w:r w:rsidR="3BE9EA8D" w:rsidRPr="00E435C0">
        <w:t xml:space="preserve"> </w:t>
      </w:r>
      <w:r w:rsidR="00B12035" w:rsidRPr="00E435C0">
        <w:t xml:space="preserve">though </w:t>
      </w:r>
      <w:r w:rsidR="0094338F" w:rsidRPr="00E435C0">
        <w:t xml:space="preserve">relative </w:t>
      </w:r>
      <w:r w:rsidR="00B12035" w:rsidRPr="00E435C0">
        <w:t xml:space="preserve">inundation </w:t>
      </w:r>
      <w:r w:rsidR="0094338F" w:rsidRPr="00E435C0">
        <w:t>demonstrated a</w:t>
      </w:r>
      <w:r w:rsidR="00B12035" w:rsidRPr="00E435C0">
        <w:t xml:space="preserve"> stronger influence on roughness than</w:t>
      </w:r>
      <w:r w:rsidR="0094338F" w:rsidRPr="00E435C0">
        <w:t xml:space="preserve"> biomass.</w:t>
      </w:r>
      <w:r w:rsidR="00B12035" w:rsidRPr="00E435C0">
        <w:t xml:space="preserve"> </w:t>
      </w:r>
      <w:r w:rsidR="3BE9EA8D" w:rsidRPr="00E435C0">
        <w:t xml:space="preserve">This makes sense given that a key factor influencing Manning’s </w:t>
      </w:r>
      <w:r w:rsidR="3BE9EA8D" w:rsidRPr="00E435C0">
        <w:rPr>
          <w:i/>
          <w:iCs/>
        </w:rPr>
        <w:t>n</w:t>
      </w:r>
      <w:r w:rsidR="3BE9EA8D" w:rsidRPr="00E435C0">
        <w:t xml:space="preserve"> is the total vegetation </w:t>
      </w:r>
      <w:r w:rsidRPr="00E435C0">
        <w:t xml:space="preserve">cross section </w:t>
      </w:r>
      <w:r w:rsidR="3BE9EA8D" w:rsidRPr="00E435C0">
        <w:t xml:space="preserve">obstructing flow, not just the height of the canopy </w:t>
      </w:r>
      <w:r w:rsidR="00EB2AFF" w:rsidRPr="00E435C0">
        <w:rPr>
          <w:color w:val="2B579A"/>
        </w:rPr>
        <w:fldChar w:fldCharType="begin"/>
      </w:r>
      <w:r w:rsidR="00EB2AFF" w:rsidRPr="00E435C0">
        <w:instrText xml:space="preserve"> ADDIN ZOTERO_ITEM CSL_CITATION {"citationID":"0TcoVJkr","properties":{"formattedCitation":"(Chow, 1959)","plainCitation":"(Chow, 1959)","noteIndex":0},"citationItems":[{"id":214,"uris":["http://zotero.org/users/9768842/items/Y9UZYWTE"],"itemData":{"id":214,"type":"webpage","title":"Chow, V. T. (1959). Open-channel hydraulics. McGraw-Hill, New York - Google Search","author":[{"family":"Chow","given":"Ven Te"}],"accessed":{"date-parts":[["2022",8,28]]},"issued":{"date-parts":[["1959"]]}}}],"schema":"https://github.com/citation-style-language/schema/raw/master/csl-citation.json"} </w:instrText>
      </w:r>
      <w:r w:rsidR="00EB2AFF" w:rsidRPr="00E435C0">
        <w:rPr>
          <w:color w:val="2B579A"/>
        </w:rPr>
        <w:fldChar w:fldCharType="separate"/>
      </w:r>
      <w:r w:rsidR="3BE9EA8D" w:rsidRPr="00E435C0">
        <w:t>(Chow, 1959)</w:t>
      </w:r>
      <w:r w:rsidR="00EB2AFF" w:rsidRPr="00E435C0">
        <w:rPr>
          <w:color w:val="2B579A"/>
        </w:rPr>
        <w:fldChar w:fldCharType="end"/>
      </w:r>
      <w:r w:rsidR="3BE9EA8D" w:rsidRPr="00E435C0">
        <w:t xml:space="preserve">. Furthermore, previous studies have found that the density of vegetation in channels was a dominant parameter for Mannings’s </w:t>
      </w:r>
      <w:r w:rsidR="3BE9EA8D" w:rsidRPr="00E435C0">
        <w:rPr>
          <w:i/>
          <w:iCs/>
        </w:rPr>
        <w:t>n</w:t>
      </w:r>
      <w:r w:rsidR="3BE9EA8D" w:rsidRPr="00E435C0">
        <w:t xml:space="preserve"> in </w:t>
      </w:r>
      <w:r w:rsidR="004C2825" w:rsidRPr="00E435C0">
        <w:t>emergent</w:t>
      </w:r>
      <w:r w:rsidR="3BE9EA8D" w:rsidRPr="00E435C0">
        <w:t xml:space="preserve"> conditions </w:t>
      </w:r>
      <w:r w:rsidR="00EB2AFF" w:rsidRPr="00E435C0">
        <w:rPr>
          <w:color w:val="2B579A"/>
        </w:rPr>
        <w:fldChar w:fldCharType="begin"/>
      </w:r>
      <w:r w:rsidR="00EB2AFF" w:rsidRPr="00E435C0">
        <w:instrText xml:space="preserve"> ADDIN ZOTERO_ITEM CSL_CITATION {"citationID":"mZhrduTg","properties":{"formattedCitation":"(Fathi-Maghadam &amp; Kouwen, 1997)","plainCitation":"(Fathi-Maghadam &amp; Kouwen, 1997)","noteIndex":0},"citationItems":[{"id":257,"uris":["http://zotero.org/users/9768842/items/6K54J26M"],"itemData":{"id":257,"type":"article-journal","abstract":"Individual pine and cedar tree saplings and branches were used to model the resistance to flow in a water flume for nonsubmerged and nonrigid vegetation to determine the amount that streamlining decreases the drag coefficient and reduces the momentum absorbing area. Currently, vegetation on floodplains is commonly assumed to behave as rigid roughness that can lead to large errors in the relationships between velocity and drag force. This presents a basic fluid mechanics problem. An extreme variation of roughness with depth of flow can result due to a large increase in the momentum absorbing area in nonsubmerged vegetation as depth is increased. This deems all the available roughness equations (which generally are based on relative roughness approach) useless for this application. In this paper a dimensional analysis, supported by experimental results, is developed to obtain a relationship between roughness conditions (i.e., density and flexural rigidity) and flow conditions (i.e., velocity and depth) for floodplains and vegetative zones of natural waterways.","container-title":"Journal of Hydraulic Engineering","DOI":"10.1061/(ASCE)0733-9429(1997)123:1(51)","ISSN":"0733-9429, 1943-7900","issue":"1","journalAbbreviation":"J. Hydraul. Eng.","language":"en","note":"number: 1","page":"51-57","source":"DOI.org (Crossref)","title":"Nonrigid, Nonsubmerged, Vegetative Roughness on Floodplains","volume":"123","author":[{"family":"Fathi-Maghadam","given":"M."},{"family":"Kouwen","given":"N."}],"issued":{"date-parts":[["1997",1]]}}}],"schema":"https://github.com/citation-style-language/schema/raw/master/csl-citation.json"} </w:instrText>
      </w:r>
      <w:r w:rsidR="00EB2AFF" w:rsidRPr="00E435C0">
        <w:rPr>
          <w:color w:val="2B579A"/>
        </w:rPr>
        <w:fldChar w:fldCharType="separate"/>
      </w:r>
      <w:r w:rsidR="3BE9EA8D" w:rsidRPr="00E435C0">
        <w:t>(Fathi-Maghadam &amp; Kouwen, 1997)</w:t>
      </w:r>
      <w:r w:rsidR="00EB2AFF" w:rsidRPr="00E435C0">
        <w:rPr>
          <w:color w:val="2B579A"/>
        </w:rPr>
        <w:fldChar w:fldCharType="end"/>
      </w:r>
      <w:r w:rsidR="009E46BF" w:rsidRPr="00E435C0">
        <w:t xml:space="preserve"> and the</w:t>
      </w:r>
      <w:r w:rsidR="004C2825" w:rsidRPr="00E435C0">
        <w:t xml:space="preserve"> analysis </w:t>
      </w:r>
      <w:r w:rsidR="009E46BF" w:rsidRPr="00E435C0">
        <w:t xml:space="preserve">here </w:t>
      </w:r>
      <w:r w:rsidR="354E250F" w:rsidRPr="00E435C0">
        <w:t>demonstrate</w:t>
      </w:r>
      <w:r w:rsidR="004C2825" w:rsidRPr="00E435C0">
        <w:t>d</w:t>
      </w:r>
      <w:r w:rsidR="354E250F" w:rsidRPr="00E435C0">
        <w:t xml:space="preserve"> that </w:t>
      </w:r>
      <w:r w:rsidR="3BE9EA8D" w:rsidRPr="00E435C0">
        <w:t>this finding translated to the floodplain as well. Since GEDI measures these vegetation properties globally, estimations of floodplain roughness can be extended worldwide with this method</w:t>
      </w:r>
      <w:r w:rsidR="006A3AC5" w:rsidRPr="00E435C0">
        <w:t>, with some caveats discussed below</w:t>
      </w:r>
      <w:r w:rsidR="3BE9EA8D" w:rsidRPr="00E435C0">
        <w:t>.</w:t>
      </w:r>
    </w:p>
    <w:p w14:paraId="5B981245" w14:textId="662E7EC1" w:rsidR="000B1830" w:rsidRPr="00E435C0" w:rsidRDefault="003F0EB4" w:rsidP="005C053F">
      <w:pPr>
        <w:pStyle w:val="Abstract"/>
        <w:spacing w:line="480" w:lineRule="auto"/>
        <w:ind w:firstLine="708"/>
      </w:pPr>
      <w:r w:rsidRPr="00E435C0">
        <w:t xml:space="preserve">As previously outlined in the methodology section, our assessment involved a cross-validation analysis of the function defined in Equation </w:t>
      </w:r>
      <w:r w:rsidR="005649E4" w:rsidRPr="00E435C0">
        <w:t>2</w:t>
      </w:r>
      <w:r w:rsidRPr="00E435C0">
        <w:t xml:space="preserve">. This process included the application of Manning's equation </w:t>
      </w:r>
      <w:r w:rsidR="008C5C01" w:rsidRPr="00E435C0">
        <w:t xml:space="preserve">(eq. 1) </w:t>
      </w:r>
      <w:r w:rsidRPr="00E435C0">
        <w:t xml:space="preserve">to calculate floodplain flow during observed overbank events, using </w:t>
      </w:r>
      <w:r w:rsidRPr="00E435C0">
        <w:lastRenderedPageBreak/>
        <w:t>measurements from the US Geological Survey (USGS) and Manning's n coefficients estimated by our function. We also compared our findings with discharge estimates obtained from previous studies by Asante et al. (2008) and Kalyanapu et al. (2009), offering valuable insights into the robustness of our approach.</w:t>
      </w:r>
      <w:r w:rsidR="00D94519" w:rsidRPr="00E435C0">
        <w:rPr>
          <w:noProof/>
        </w:rPr>
        <w:t xml:space="preserve"> </w:t>
      </w:r>
    </w:p>
    <w:p w14:paraId="48CACEDE" w14:textId="257617A2" w:rsidR="00CE7680" w:rsidRPr="00E435C0" w:rsidRDefault="00030423" w:rsidP="0014311A">
      <w:pPr>
        <w:pStyle w:val="Abstract"/>
        <w:spacing w:line="480" w:lineRule="auto"/>
        <w:ind w:firstLine="708"/>
      </w:pPr>
      <w:r w:rsidRPr="00E435C0">
        <w:t xml:space="preserve">Our cross-validation analysis reveals notable advantages of the proposed function, which is rooted in US Geological Survey (USGS) gage data. This function demonstrated superior performance with a Kling-Gupta efficiency (KGE) of 0.38 and a percent bias (PBIAS) of -16% in estimating USGS measured flows. In comparison, alternative methods for determining roughness coefficients, such as </w:t>
      </w:r>
      <w:proofErr w:type="spellStart"/>
      <w:r w:rsidRPr="00E435C0">
        <w:t>GeoSFM</w:t>
      </w:r>
      <w:proofErr w:type="spellEnd"/>
      <w:r w:rsidRPr="00E435C0">
        <w:t xml:space="preserve"> (KGE = 0.33, PBIAS = -43%) and Kalyanapu's approach (KGE = 0.10, PBIAS = -85%), yielded less accurate results. Importantly, the other methods consistently underestimated flow rates across various land cover types when relying on constant roughness coefficients. </w:t>
      </w:r>
      <w:r w:rsidR="6DBF39BC" w:rsidRPr="00E435C0">
        <w:t>This artifact is</w:t>
      </w:r>
      <w:r w:rsidR="007F5CC4" w:rsidRPr="00E435C0">
        <w:t xml:space="preserve"> due to </w:t>
      </w:r>
      <w:r w:rsidR="0671D471" w:rsidRPr="00E435C0">
        <w:t>land cover –roughness coefficient classifications being</w:t>
      </w:r>
      <w:r w:rsidR="007F5CC4" w:rsidRPr="00E435C0">
        <w:t xml:space="preserve"> defined based on steady and uniform flow conditions in channels</w:t>
      </w:r>
      <w:r w:rsidR="00AC0302" w:rsidRPr="00E435C0">
        <w:t xml:space="preserve"> </w:t>
      </w:r>
      <w:r w:rsidR="001C49CB" w:rsidRPr="00E435C0">
        <w:fldChar w:fldCharType="begin"/>
      </w:r>
      <w:r w:rsidR="001C49CB" w:rsidRPr="00E435C0">
        <w:instrText xml:space="preserve"> ADDIN ZOTERO_ITEM CSL_CITATION {"citationID":"M5kFbERF","properties":{"formattedCitation":"(Chow, 1959)","plainCitation":"(Chow, 1959)","noteIndex":0},"citationItems":[{"id":214,"uris":["http://zotero.org/users/9768842/items/Y9UZYWTE"],"itemData":{"id":214,"type":"webpage","title":"Chow, V. T. (1959). Open-channel hydraulics. McGraw-Hill, New York - Google Search","author":[{"family":"Chow","given":"Ven Te"}],"accessed":{"date-parts":[["2022",8,28]]},"issued":{"date-parts":[["1959"]]}}}],"schema":"https://github.com/citation-style-language/schema/raw/master/csl-citation.json"} </w:instrText>
      </w:r>
      <w:r w:rsidR="001C49CB" w:rsidRPr="00E435C0">
        <w:fldChar w:fldCharType="separate"/>
      </w:r>
      <w:r w:rsidR="001C49CB" w:rsidRPr="00E435C0">
        <w:t>(Chow, 1959)</w:t>
      </w:r>
      <w:r w:rsidR="001C49CB" w:rsidRPr="00E435C0">
        <w:fldChar w:fldCharType="end"/>
      </w:r>
      <w:r w:rsidR="0022311B" w:rsidRPr="00E435C0">
        <w:t xml:space="preserve"> and </w:t>
      </w:r>
      <w:r w:rsidR="1B39F3EC" w:rsidRPr="00E435C0">
        <w:t xml:space="preserve">not accounting for </w:t>
      </w:r>
      <w:r w:rsidR="007F5CC4" w:rsidRPr="00E435C0">
        <w:t>variation of resistance with changing flow, especially during flood events with higher flow rates</w:t>
      </w:r>
      <w:r w:rsidR="00B11579" w:rsidRPr="00E435C0">
        <w:t xml:space="preserve">. </w:t>
      </w:r>
      <w:r w:rsidR="00485AE5" w:rsidRPr="00E435C0">
        <w:t xml:space="preserve">This is </w:t>
      </w:r>
      <w:r w:rsidR="008F0BEC" w:rsidRPr="00E435C0">
        <w:t>evident in</w:t>
      </w:r>
      <w:r w:rsidR="00485AE5" w:rsidRPr="00E435C0">
        <w:t xml:space="preserve"> the fact</w:t>
      </w:r>
      <w:r w:rsidR="00CE7680" w:rsidRPr="00E435C0">
        <w:t xml:space="preserve"> that the hydrologic models analyzed in </w:t>
      </w:r>
      <w:r w:rsidR="00D07A52" w:rsidRPr="00E435C0">
        <w:t>these works</w:t>
      </w:r>
      <w:r w:rsidR="00CE7680" w:rsidRPr="00E435C0">
        <w:t xml:space="preserve"> utilized hydrographs, which involve unsteady flow characterized by changing flow over time. As a consequence, the roughness coefficient becomes variable</w:t>
      </w:r>
      <w:r w:rsidR="00AD5CAA" w:rsidRPr="00E435C0">
        <w:t xml:space="preserve"> in reality but not in the models</w:t>
      </w:r>
      <w:r w:rsidR="00CE7680" w:rsidRPr="00E435C0">
        <w:t xml:space="preserve">. By incorporating </w:t>
      </w:r>
      <w:r w:rsidR="00AD5CAA" w:rsidRPr="00E435C0">
        <w:t xml:space="preserve">a vegetation- and submergence-dependent </w:t>
      </w:r>
      <w:r w:rsidR="00CE7680" w:rsidRPr="00E435C0">
        <w:t xml:space="preserve">Manning's </w:t>
      </w:r>
      <w:r w:rsidR="00CE7680" w:rsidRPr="00E435C0">
        <w:rPr>
          <w:i/>
          <w:iCs/>
        </w:rPr>
        <w:t>n</w:t>
      </w:r>
      <w:r w:rsidR="00CE7680" w:rsidRPr="00E435C0">
        <w:t xml:space="preserve"> </w:t>
      </w:r>
      <w:r w:rsidR="00002C9A" w:rsidRPr="00E435C0">
        <w:t>coefficient,</w:t>
      </w:r>
      <w:r w:rsidR="00CE7680" w:rsidRPr="00E435C0">
        <w:t xml:space="preserve"> </w:t>
      </w:r>
      <w:r w:rsidR="00887889" w:rsidRPr="00E435C0">
        <w:t xml:space="preserve">the proposed function captured </w:t>
      </w:r>
      <w:r w:rsidR="00CE7680" w:rsidRPr="00E435C0">
        <w:t xml:space="preserve">varying </w:t>
      </w:r>
      <w:r w:rsidR="00735962" w:rsidRPr="00E435C0">
        <w:t xml:space="preserve">hydraulic </w:t>
      </w:r>
      <w:r w:rsidR="00CE7680" w:rsidRPr="00E435C0">
        <w:t xml:space="preserve">conditions, leading to improved flow estimates </w:t>
      </w:r>
      <w:r w:rsidR="00735962" w:rsidRPr="00E435C0">
        <w:t xml:space="preserve">when </w:t>
      </w:r>
      <w:r w:rsidR="00CE7680" w:rsidRPr="00E435C0">
        <w:t>compared to methods that rely on a roughness coefficient</w:t>
      </w:r>
      <w:r w:rsidR="000B0874" w:rsidRPr="00E435C0">
        <w:t xml:space="preserve"> that is independent of hydraulic conditions</w:t>
      </w:r>
      <w:r w:rsidR="00CE7680" w:rsidRPr="00E435C0">
        <w:t>.</w:t>
      </w:r>
      <w:r w:rsidR="005428C3" w:rsidRPr="00E435C0">
        <w:t xml:space="preserve"> </w:t>
      </w:r>
      <w:r w:rsidR="008B20EA" w:rsidRPr="00E435C0">
        <w:t>Supporting this interpretation</w:t>
      </w:r>
      <w:r w:rsidR="005428C3" w:rsidRPr="00E435C0">
        <w:t xml:space="preserve">, both the </w:t>
      </w:r>
      <w:proofErr w:type="spellStart"/>
      <w:r w:rsidR="005428C3" w:rsidRPr="00E435C0">
        <w:t>GeoSFM</w:t>
      </w:r>
      <w:proofErr w:type="spellEnd"/>
      <w:r w:rsidR="005428C3" w:rsidRPr="00E435C0">
        <w:t xml:space="preserve"> and Kalyanapu </w:t>
      </w:r>
      <w:r w:rsidR="000B0874" w:rsidRPr="00E435C0">
        <w:t xml:space="preserve">et al. (2009) </w:t>
      </w:r>
      <w:r w:rsidR="005428C3" w:rsidRPr="00E435C0">
        <w:t xml:space="preserve">methods demonstrated relatively accurate estimates for </w:t>
      </w:r>
      <w:r w:rsidR="002345D0" w:rsidRPr="00E435C0">
        <w:t xml:space="preserve">short </w:t>
      </w:r>
      <w:r w:rsidR="005428C3" w:rsidRPr="00E435C0">
        <w:t>vegetation classes</w:t>
      </w:r>
      <w:r w:rsidR="002345D0" w:rsidRPr="00E435C0">
        <w:t xml:space="preserve"> </w:t>
      </w:r>
      <w:r w:rsidR="005428C3" w:rsidRPr="00E435C0">
        <w:t xml:space="preserve">such as urban </w:t>
      </w:r>
      <w:r w:rsidR="005428C3" w:rsidRPr="00E435C0">
        <w:lastRenderedPageBreak/>
        <w:t xml:space="preserve">areas, built-up lands, and croplands, although they still lacked the precision displayed by our </w:t>
      </w:r>
      <w:r w:rsidR="00DB01DA" w:rsidRPr="00E435C0">
        <w:t>function</w:t>
      </w:r>
      <w:r w:rsidR="005428C3" w:rsidRPr="00E435C0">
        <w:t xml:space="preserve"> in this study.</w:t>
      </w:r>
    </w:p>
    <w:p w14:paraId="12B56122" w14:textId="58F9DBAC" w:rsidR="00D74DCE" w:rsidRPr="00E435C0" w:rsidRDefault="00F74BD2" w:rsidP="0014311A">
      <w:pPr>
        <w:pStyle w:val="Abstract"/>
        <w:spacing w:line="480" w:lineRule="auto"/>
        <w:ind w:firstLine="708"/>
      </w:pPr>
      <w:r w:rsidRPr="00E435C0">
        <w:t>Th</w:t>
      </w:r>
      <w:r w:rsidR="0052702B" w:rsidRPr="00E435C0">
        <w:t xml:space="preserve">e </w:t>
      </w:r>
      <w:r w:rsidR="00CD1888" w:rsidRPr="00E435C0">
        <w:t xml:space="preserve">Manning’s </w:t>
      </w:r>
      <w:r w:rsidR="00CD1888" w:rsidRPr="00E435C0">
        <w:rPr>
          <w:i/>
          <w:iCs/>
        </w:rPr>
        <w:t>n</w:t>
      </w:r>
      <w:r w:rsidR="00D875B8" w:rsidRPr="00E435C0">
        <w:rPr>
          <w:i/>
          <w:iCs/>
        </w:rPr>
        <w:t xml:space="preserve"> </w:t>
      </w:r>
      <w:r w:rsidR="00EA7CC6" w:rsidRPr="00E435C0">
        <w:t xml:space="preserve">dataset </w:t>
      </w:r>
      <w:r w:rsidR="00D875B8" w:rsidRPr="00E435C0">
        <w:t xml:space="preserve">and the </w:t>
      </w:r>
      <w:r w:rsidR="00DB01DA" w:rsidRPr="00E435C0">
        <w:t>function</w:t>
      </w:r>
      <w:r w:rsidR="00A813F5" w:rsidRPr="00E435C0">
        <w:t xml:space="preserve"> proposed in Eq. </w:t>
      </w:r>
      <w:r w:rsidR="00DD6928" w:rsidRPr="00E435C0">
        <w:t>2</w:t>
      </w:r>
      <w:r w:rsidR="00C379E0" w:rsidRPr="00E435C0">
        <w:t xml:space="preserve"> </w:t>
      </w:r>
      <w:r w:rsidR="00A813F5" w:rsidRPr="00E435C0">
        <w:t xml:space="preserve">have the potential </w:t>
      </w:r>
      <w:r w:rsidR="006E11A5" w:rsidRPr="00E435C0">
        <w:t xml:space="preserve">to improve </w:t>
      </w:r>
      <w:r w:rsidR="00A813F5" w:rsidRPr="00E435C0">
        <w:t>the</w:t>
      </w:r>
      <w:r w:rsidR="00E81B09" w:rsidRPr="00E435C0">
        <w:t xml:space="preserve"> performance of </w:t>
      </w:r>
      <w:r w:rsidR="002C3181" w:rsidRPr="00E435C0">
        <w:t>large-scale</w:t>
      </w:r>
      <w:r w:rsidR="00E81B09" w:rsidRPr="00E435C0">
        <w:t xml:space="preserve"> models such as the National Water Model</w:t>
      </w:r>
      <w:r w:rsidR="001262A8" w:rsidRPr="00E435C0">
        <w:t xml:space="preserve"> (NWM)</w:t>
      </w:r>
      <w:r w:rsidR="00E81B09" w:rsidRPr="00E435C0">
        <w:t xml:space="preserve">. </w:t>
      </w:r>
      <w:r w:rsidR="00260F92" w:rsidRPr="00E435C0">
        <w:t>Many</w:t>
      </w:r>
      <w:r w:rsidR="00D9124A" w:rsidRPr="00E435C0">
        <w:t xml:space="preserve"> attempts are currently being made </w:t>
      </w:r>
      <w:r w:rsidR="006E11A5" w:rsidRPr="00E435C0">
        <w:t>to reduce</w:t>
      </w:r>
      <w:r w:rsidR="00D9124A" w:rsidRPr="00E435C0">
        <w:t xml:space="preserve"> uncertainty </w:t>
      </w:r>
      <w:r w:rsidR="006E11A5" w:rsidRPr="00E435C0">
        <w:t xml:space="preserve">in </w:t>
      </w:r>
      <w:r w:rsidR="002C3181" w:rsidRPr="00E435C0">
        <w:t>nationwide</w:t>
      </w:r>
      <w:r w:rsidR="00D9124A" w:rsidRPr="00E435C0">
        <w:t xml:space="preserve"> models</w:t>
      </w:r>
      <w:r w:rsidR="00AB6E4A" w:rsidRPr="00E435C0">
        <w:t xml:space="preserve"> </w:t>
      </w:r>
      <w:r w:rsidR="00B54851" w:rsidRPr="00E435C0">
        <w:fldChar w:fldCharType="begin"/>
      </w:r>
      <w:r w:rsidR="00F27883" w:rsidRPr="00E435C0">
        <w:instrText xml:space="preserve"> ADDIN ZOTERO_ITEM CSL_CITATION {"citationID":"BX4qWimq","properties":{"formattedCitation":"(Johnson et al., 2019; Rojas et al., 2020)","plainCitation":"(Johnson et al., 2019; Rojas et al., 2020)","noteIndex":0},"citationItems":[{"id":511,"uris":["http://zotero.org/users/9768842/items/L5F462UM"],"itemData":{"id":511,"type":"article-journal","abstract":"&lt;p&gt;&lt;strong class=\"journal-contentHeaderColor\"&gt;Abstract.&lt;/strong&gt; Flood maps are needed for emergency response, research, and planning. The Height Above Nearest Drainage (HAND) technique is a low-complexity, terrain-based approach for inundation mapping using elevation data, discharge–height relationships, and streamflow inputs. The recent operational capacities of the NOAA National Water Model (NWM) and preprocessed HAND products from the University of Texas offer an operational framework for real-time and forecast flood guidance across the US. In this study, we evaluate the integrated National Water Model –Height Above Nearest Drainage (NWM–HAND) flood mapping approach using 28 remotely sensed inundation maps and 54 reach-level catchments. The results show the NWM–HAND method tends to underpredict inundated cells in 4th-order and lower-order reaches but does better with a slight tendency to overpredict in high-order reaches. An evaluation of the roughness coefficient used in the production of synthetic rating curves suggests it is the most important parameter for correcting these errors. Persistent inaccuracies do occur when NWM streamflow predictions are substantially biased (&lt;span class=\"inline-formula\"&gt;&amp;gt;60&lt;/span&gt;&amp;thinsp;% mean absolute error between NWM and observed streamflow) and in regions of low relief. Overall, the NWM–HAND method does not accurately capture inundated cells but is quite capable of highlighting regions likely to be at risk in 4th-order streams and higher. While NWM–HAND should be used with caution when identifying flood boundaries or making decisions of whether a cell is dry or wet, its applicability as a high-level guidance tool along larger rivers is noteworthy.&lt;/p&gt;","container-title":"Natural Hazards and Earth System Sciences","DOI":"10.5194/nhess-19-2405-2019","ISSN":"1561-8633","issue":"11","language":"English","note":"publisher: Copernicus GmbH","page":"2405-2420","source":"nhess.copernicus.org","title":"An integrated evaluation of the National Water Model (NWM)–Height Above Nearest Drainage (HAND) flood mapping methodology","volume":"19","author":[{"family":"Johnson","given":"J. Michael"},{"family":"Munasinghe","given":"Dinuke"},{"family":"Eyelade","given":"Damilola"},{"family":"Cohen","given":"Sagy"}],"issued":{"date-parts":[["2019",11,4]]}},"label":"page"},{"id":509,"uris":["http://zotero.org/users/9768842/items/4GFFCYBB"],"itemData":{"id":509,"type":"article-journal","abstract":"This paper explores the performance of the analysis-and-assimilation configuration of the National Water Model (NWM) v1.0 in Iowa. The NWM assimilates streamflow observations from the United States Geological Survey (USGS), which increases the performance but also limits the available data for model evaluation. In this study, Iowa Flood Center Bridge Sensors (IFCBS) data provided an independent nonassimilated dataset for evaluation analyses. The authors compared NWM outputs for the period between May 2016 and April 2017, with two datasets: USGS streamflow and velocity observations; Stage and streamflow data from IFCBS. The distribution of Spearman rank correlation (rs), Nash–Sutcliffe efficiency (E), and Kling–Gupta efficiency (KGE) provided quantification of model performance. We found the performance was linked with the spatial scale of the basins. Analysis at USGS gauges showed the strongest performance in large (&gt;10,000 km2) basins (rs = 0.9, E = 0.9, KGE = 0.8), with some decrease at small (&lt;1,000 km2) basins (rs = 0.6, E = −0.25, KGE = −0.2). Analysis with independent IFCBS observations was used to report performance at large basins (rs = 0.6, KGE = 0.1) and small basins (rs = 0.2, KGE = −0.4). Data assimilation improves simulations at downstream basins. We found differences in the characterization of the model and observed data flow velocity distributions. The authors recommend checking the connection of USGS gauges and NHDPlus reaches for selected locations where performance is weak.","container-title":"JAWRA Journal of the American Water Resources Association","DOI":"10.1111/1752-1688.12820","ISSN":"1752-1688","issue":"4","language":"en","note":"_eprint: https://onlinelibrary.wiley.com/doi/pdf/10.1111/1752-1688.12820","page":"568-585","source":"Wiley Online Library","title":"Performance of the National Water Model in Iowa Using Independent Observations","volume":"56","author":[{"family":"Rojas","given":"Marcela"},{"family":"Quintero","given":"Felipe"},{"family":"Krajewski","given":"Witold F."}],"issued":{"date-parts":[["2020"]]}}}],"schema":"https://github.com/citation-style-language/schema/raw/master/csl-citation.json"} </w:instrText>
      </w:r>
      <w:r w:rsidR="00B54851" w:rsidRPr="00E435C0">
        <w:fldChar w:fldCharType="separate"/>
      </w:r>
      <w:r w:rsidR="00F27883" w:rsidRPr="00E435C0">
        <w:t>(Johnson et al., 2019; Rojas et al., 2020)</w:t>
      </w:r>
      <w:r w:rsidR="00B54851" w:rsidRPr="00E435C0">
        <w:fldChar w:fldCharType="end"/>
      </w:r>
      <w:r w:rsidR="0046205E" w:rsidRPr="00E435C0">
        <w:t xml:space="preserve">, but </w:t>
      </w:r>
      <w:r w:rsidR="00D42C50" w:rsidRPr="00E435C0">
        <w:t xml:space="preserve">have been </w:t>
      </w:r>
      <w:r w:rsidR="0046205E" w:rsidRPr="00E435C0">
        <w:t xml:space="preserve">focused on improving its performance by </w:t>
      </w:r>
      <w:r w:rsidR="00A658E3" w:rsidRPr="00E435C0">
        <w:t>updating</w:t>
      </w:r>
      <w:r w:rsidR="0046205E" w:rsidRPr="00E435C0">
        <w:t xml:space="preserve"> the geometry and roughness parameters</w:t>
      </w:r>
      <w:r w:rsidR="00A658E3" w:rsidRPr="00E435C0">
        <w:t xml:space="preserve"> of the main channel,</w:t>
      </w:r>
      <w:r w:rsidR="007C4FA0" w:rsidRPr="00E435C0">
        <w:t xml:space="preserve"> </w:t>
      </w:r>
      <w:r w:rsidR="003C60DB" w:rsidRPr="00E435C0">
        <w:t>without extending</w:t>
      </w:r>
      <w:r w:rsidR="008B20EA" w:rsidRPr="00E435C0">
        <w:t xml:space="preserve"> improvements</w:t>
      </w:r>
      <w:r w:rsidR="007C4FA0" w:rsidRPr="00E435C0">
        <w:t xml:space="preserve"> to the floodplain</w:t>
      </w:r>
      <w:r w:rsidR="00F27883" w:rsidRPr="00E435C0">
        <w:t xml:space="preserve"> </w:t>
      </w:r>
      <w:r w:rsidR="00FA32E5" w:rsidRPr="00E435C0">
        <w:fldChar w:fldCharType="begin"/>
      </w:r>
      <w:r w:rsidR="00FA32E5" w:rsidRPr="00E435C0">
        <w:instrText xml:space="preserve"> ADDIN ZOTERO_ITEM CSL_CITATION {"citationID":"wNS79an7","properties":{"formattedCitation":"(Heldmyer et al., 2022)","plainCitation":"(Heldmyer et al., 2022)","noteIndex":0},"citationItems":[{"id":506,"uris":["http://zotero.org/users/9768842/items/PZCJXNY3"],"itemData":{"id":506,"type":"article-journal","abstract":"&lt;p&gt;&lt;strong class=\"journal-contentHeaderColor\"&gt;Abstract.&lt;/strong&gt; Accurate representation of channel properties is important for forecasting in hydrologic models, as it affects the height, celerity, and attenuation of flood waves. Yet, considerable uncertainty in the parameterization of channel geometry and hydraulic roughness (Manning's &lt;span class=\"inline-formula\"&gt;&lt;i&gt;n&lt;/i&gt;&lt;/span&gt;) exists within the NOAA National Water Model (NWM), due largely to data scarcity; only &lt;span class=\"inline-formula\"&gt;</w:instrText>
      </w:r>
      <w:r w:rsidR="00FA32E5" w:rsidRPr="00E435C0">
        <w:rPr>
          <w:rFonts w:ascii="Cambria Math" w:hAnsi="Cambria Math" w:cs="Cambria Math"/>
        </w:rPr>
        <w:instrText>∼</w:instrText>
      </w:r>
      <w:r w:rsidR="00FA32E5" w:rsidRPr="00E435C0">
        <w:instrText xml:space="preserve">2800&lt;/span&gt; out of the &lt;span class=\"inline-formula\"&gt;2.7×10&lt;sup&gt;6&lt;/sup&gt;&lt;/span&gt; river reach segments in the NWM have measured channel properties. In this study, we seek to improve channel representativeness by updating channel geometry and roughness parameters using a large, previously unpublished hydraulic geometry (HyG) dataset of approximately 48 000 gauges. We begin with a Sobol' sensitivity analysis of channel geometry parameters for 12 small, semi-natural basins across the continental U.S., which reveals an outsized sensitivity of simulated flow to Manning's &lt;span class=\"inline-formula\"&gt;&lt;i&gt;n&lt;/i&gt;&lt;/span&gt; relative to channel geometry parameters. We then develop and evaluate a set of regression-based regionalizations of channel parameters estimated using the HyG dataset. Finally, we compare the model output generated from updated channel parameter sets to observations and the current NWM v2.1 parameterization. We find that while the NWM land surface model holds the most influence over flow, given its control over total volume, the updated channel parameterization leads to improvements in simulated streamflow performance relative to observed flows, with a statistically significant mean &lt;span class=\"inline-formula\"&gt;&lt;i&gt;R&lt;/i&gt;&lt;sup&gt;2&lt;/sup&gt;&lt;/span&gt; increase from 0.479 to 0.494 across approximately 7400 gauge locations. HyG-based channel geometry and roughness provide a substantial overall improvement in channel representation over the default parameterization, updating the previous set value for most reaches of Manning's &lt;span class=\"inline-formula\"&gt;&lt;i&gt;n&lt;/i&gt;=0.060&lt;/span&gt; to a new range between 0.006 and 0.537 (median 0.077). This research provides a more representative, observationally based channel parameter dataset for the NWM routing module and new insight into the influence of the routing module within the overall modeling framework.&lt;/p&gt;","container-title":"Hydrology and Earth System Sciences","DOI":"10.5194/hess-26-6121-2022","ISSN":"1027-5606","issue":"23","language":"English","note":"publisher: Copernicus GmbH","page":"6121-6136","source":"hess.copernicus.org","title":"Evaluation of a new observationally based channel parameterization for the National Water Model","volume":"26","author":[{"family":"Heldmyer","given":"Aaron"},{"family":"Livneh","given":"Ben"},{"family":"McCreight","given":"James"},{"family":"Read","given":"Laura"},{"family":"Kasprzyk","given":"Joseph"},{"family":"Minear","given":"Toby"}],"issued":{"date-parts":[["2022",12,6]]}}}],"schema":"https://github.com/citation-style-language/schema/raw/master/csl-citation.json"} </w:instrText>
      </w:r>
      <w:r w:rsidR="00FA32E5" w:rsidRPr="00E435C0">
        <w:fldChar w:fldCharType="separate"/>
      </w:r>
      <w:r w:rsidR="00FA32E5" w:rsidRPr="00E435C0">
        <w:t>(Heldmyer et al., 2022)</w:t>
      </w:r>
      <w:r w:rsidR="00FA32E5" w:rsidRPr="00E435C0">
        <w:fldChar w:fldCharType="end"/>
      </w:r>
      <w:r w:rsidR="00D5317A" w:rsidRPr="00E435C0">
        <w:t xml:space="preserve">. </w:t>
      </w:r>
      <w:r w:rsidR="00301C3B" w:rsidRPr="00E435C0">
        <w:t>Integrating the</w:t>
      </w:r>
      <w:r w:rsidR="00D5317A" w:rsidRPr="00E435C0">
        <w:t xml:space="preserve"> results from </w:t>
      </w:r>
      <w:r w:rsidR="006E11A5" w:rsidRPr="00E435C0">
        <w:t xml:space="preserve">this </w:t>
      </w:r>
      <w:r w:rsidR="00D5317A" w:rsidRPr="00E435C0">
        <w:t>work</w:t>
      </w:r>
      <w:r w:rsidR="001262A8" w:rsidRPr="00E435C0">
        <w:t xml:space="preserve"> on floodplain roughness</w:t>
      </w:r>
      <w:r w:rsidR="00FF6DB9" w:rsidRPr="00E435C0">
        <w:t xml:space="preserve"> </w:t>
      </w:r>
      <w:r w:rsidR="00D42C50" w:rsidRPr="00E435C0">
        <w:t xml:space="preserve">at </w:t>
      </w:r>
      <w:r w:rsidR="00FF6DB9" w:rsidRPr="00E435C0">
        <w:t xml:space="preserve">USGS </w:t>
      </w:r>
      <w:r w:rsidR="00F74D2D" w:rsidRPr="00E435C0">
        <w:t>gauge locations</w:t>
      </w:r>
      <w:r w:rsidR="00D5317A" w:rsidRPr="00E435C0">
        <w:t xml:space="preserve"> into the</w:t>
      </w:r>
      <w:r w:rsidR="001262A8" w:rsidRPr="00E435C0">
        <w:t xml:space="preserve"> NWM</w:t>
      </w:r>
      <w:r w:rsidR="00056B38" w:rsidRPr="00E435C0">
        <w:t xml:space="preserve"> could be a logical next step</w:t>
      </w:r>
      <w:r w:rsidR="00D03D5A" w:rsidRPr="00E435C0">
        <w:t>.</w:t>
      </w:r>
    </w:p>
    <w:p w14:paraId="569113F5" w14:textId="2BBECBB3" w:rsidR="00CB1A48" w:rsidRPr="00E435C0" w:rsidRDefault="00CB1A48" w:rsidP="00850660">
      <w:pPr>
        <w:pStyle w:val="Abstract"/>
        <w:spacing w:line="480" w:lineRule="auto"/>
        <w:ind w:firstLine="708"/>
      </w:pPr>
      <w:r w:rsidRPr="00E435C0">
        <w:t>Our study introduces a novel approach to enhance the NWM, especially during flood events, by incorporating dynamic floodplain roughness values. These values account for variations in flow velocity</w:t>
      </w:r>
      <w:r w:rsidR="001765C7" w:rsidRPr="00E435C0">
        <w:t xml:space="preserve"> and </w:t>
      </w:r>
      <w:r w:rsidRPr="00E435C0">
        <w:t>vegetation properties</w:t>
      </w:r>
      <w:r w:rsidR="001765C7" w:rsidRPr="00E435C0">
        <w:t>, e</w:t>
      </w:r>
      <w:r w:rsidRPr="00E435C0">
        <w:t>ssential factors that are traditionally treated as constants in large-scale models. This integration offers the potential for more accurate flood predictions, improved flood risk assessments, and enhanced river management strategies.</w:t>
      </w:r>
      <w:r w:rsidR="00850660" w:rsidRPr="00E435C0">
        <w:t xml:space="preserve"> I</w:t>
      </w:r>
      <w:r w:rsidRPr="00E435C0">
        <w:t>t's important to acknowledge the possibility of adjustments to other key parameters, such as channel roughness. While our study doesn't prescribe a specific approach for these adjustments, it opens an intriguing avenue for future research and collaboration.</w:t>
      </w:r>
    </w:p>
    <w:p w14:paraId="2387591B" w14:textId="630639D2" w:rsidR="00EB2AFF" w:rsidRPr="00E435C0" w:rsidRDefault="00EB2AFF" w:rsidP="008D4592">
      <w:pPr>
        <w:pStyle w:val="Abstract"/>
        <w:spacing w:line="480" w:lineRule="auto"/>
        <w:ind w:firstLine="708"/>
      </w:pPr>
      <w:r w:rsidRPr="00E435C0">
        <w:t>The study datasets were subject to some limitations</w:t>
      </w:r>
      <w:r w:rsidR="0005652E" w:rsidRPr="00E435C0">
        <w:t>, including those inherent to the USGS monitoring network</w:t>
      </w:r>
      <w:r w:rsidR="007A2EA9" w:rsidRPr="00E435C0">
        <w:t xml:space="preserve"> </w:t>
      </w:r>
      <w:r w:rsidR="005B4F1F" w:rsidRPr="00E435C0">
        <w:fldChar w:fldCharType="begin"/>
      </w:r>
      <w:r w:rsidR="005B4F1F" w:rsidRPr="00E435C0">
        <w:instrText xml:space="preserve"> ADDIN ZOTERO_ITEM CSL_CITATION {"citationID":"D0y14PTT","properties":{"formattedCitation":"(Kiang et al., 2013; Tu et al., 2023)","plainCitation":"(Kiang et al., 2013; Tu et al., 2023)","noteIndex":0},"citationItems":[{"id":945,"uris":["http://zotero.org/users/9768842/items/YF5BRABZ"],"itemData":{"id":945,"type":"report","abstract":"The U.S. Geological Survey (USGS) conducted a gap analysis to evaluate how well the USGS streamgage network meets a variety of needs, focusing on the ability to calculate various statistics at locations that have streamgages (gaged) and that do not have streamgages (ungaged). This report presents the results of analysis to determine where there are gaps in the network of gaged locations, how accurately desired statistics can be calculated with a given length of record, and whether the current network allows for estimation of these statistics at ungaged locations. The analysis indicated that there is variability across the Nation’s streamflow data-collection network in terms of the spatial and temporal coverage of streamgages. In general, the Eastern United States has better coverage than the Western United States. The arid Southwestern United States, Alaska, and Hawaii were observed to have the poorest spatial coverage, using the dataset assembled for this study. Except in Hawaii, these areas also tended to have short streamflow records. Differences in hydrology lead to differences in the uncertainty of statistics calculated in different regions of the country. Arid and semiarid areas of the Central and Southwestern United States generally exhibited the highest levels of interannual variability in flow, leading to larger uncertainty in flow statistics. At ungaged locations, information can be transferred from nearby streamgages if there is sufficient similarity between the gaged watersheds and the ungaged watersheds of interest. Areas where streamgages exhibit high correlation are most likely to be suitable for this type of information transfer. The areas with the most highly correlated streamgages appear to coincide with mountainous areas of the United States. Lower correlations are found in the Central United States and coastal areas of the Southeastern United States. Information transfer from gaged basins to ungaged basins is also most likely to be successful when basin attributes show high similarity. At the scale of the analysis completed in this study, the attributes of basins upstream of USGS streamgages cover the full range of basin attributes observed at potential locations of interest fairly well. Some exceptions included very high or very low elevation areas and very arid areas.","collection-title":"Scientific Investigations Report","event-place":"Reston, VA","genre":"USGS Numbered Series","note":"volume: 2013-5013\ncontainer-title: A national streamflow network gap analysis\nDOI: 10.3133/sir20135013\ncontainer-title: A national streamflow network gap analysis\ncontainer-title: A national streamflow network gap analysis\ncollection-title: Scientific Investigations Report","number":"2013-5013","publisher":"U.S. Geological Survey","publisher-place":"Reston, VA","source":"pubs.er.usgs.gov","title":"A national streamflow network gap analysis","URL":"http://pubs.er.usgs.gov/publication/sir20135013","author":[{"family":"Kiang","given":"Julie E."},{"family":"Stewart","given":"David W."},{"family":"Archfield","given":"Stacey A."},{"family":"Osborne","given":"Emily B."},{"family":"Eng","given":"Ken"}],"accessed":{"date-parts":[["2023",6,21]]},"issued":{"date-parts":[["2013"]]}}},{"id":941,"uris":["http://zotero.org/users/9768842/items/ZKRPPIZP"],"itemData":{"id":941,"type":"article-journal","abstract":"Despite its far-reaching implications for conservation and natural resource management, little is known about the color of environmental noise, or the structure of temporal autocorrelation in random environmental variation, in streams and rivers. Here, we analyze the geography, drivers, and timescale-dependence of noise color in streamflow across the U.S. hydrography, using streamflow time series from 7504 gages. We find that daily and annual flows are dominated by red and white spectra respectively, and spatial variation in noise color is explained by a combination of geographic, hydroclimatic, and anthropogenic variables. Noise color at the daily scale is influenced by stream network position, and land use and water management explain around one third of the spatial variation in noise color irrespective of the timescale considered. Our results highlight the peculiarities of environmental variation regimes in riverine systems, and reveal a strong human fingerprint on the stochastic patterns of streamflow variation in river networks.","container-title":"Nature Communications","DOI":"10.1038/s41467-023-37062-2","ISSN":"2041-1723","issue":"1","journalAbbreviation":"Nat Commun","language":"en","license":"2023 The Author(s)","note":"number: 1\npublisher: Nature Publishing Group","page":"1728","source":"www.nature.com","title":"The color of environmental noise in river networks","volume":"14","author":[{"family":"Tu","given":"Tongbi"},{"family":"Comte","given":"Lise"},{"family":"Ruhi","given":"Albert"}],"issued":{"date-parts":[["2023",3,28]]}}}],"schema":"https://github.com/citation-style-language/schema/raw/master/csl-citation.json"} </w:instrText>
      </w:r>
      <w:r w:rsidR="005B4F1F" w:rsidRPr="00E435C0">
        <w:fldChar w:fldCharType="separate"/>
      </w:r>
      <w:r w:rsidR="005B4F1F" w:rsidRPr="00E435C0">
        <w:t>(Kiang et al., 2013; Tu et al., 2023)</w:t>
      </w:r>
      <w:r w:rsidR="005B4F1F" w:rsidRPr="00E435C0">
        <w:fldChar w:fldCharType="end"/>
      </w:r>
      <w:r w:rsidR="002904F5" w:rsidRPr="00E435C0">
        <w:t xml:space="preserve">, </w:t>
      </w:r>
      <w:r w:rsidR="0005652E" w:rsidRPr="00E435C0">
        <w:t>as discussed in the SI</w:t>
      </w:r>
      <w:r w:rsidRPr="00E435C0">
        <w:t xml:space="preserve">. </w:t>
      </w:r>
      <w:r w:rsidR="00666EF4" w:rsidRPr="00E435C0">
        <w:t>Gaging</w:t>
      </w:r>
      <w:r w:rsidR="00B84590" w:rsidRPr="00E435C0">
        <w:t xml:space="preserve"> limitations may</w:t>
      </w:r>
      <w:r w:rsidR="007A2EA9" w:rsidRPr="00E435C0">
        <w:t xml:space="preserve"> narrow</w:t>
      </w:r>
      <w:r w:rsidR="00A05FC1" w:rsidRPr="00E435C0">
        <w:t xml:space="preserve"> the generalizability of the results to LULCs </w:t>
      </w:r>
      <w:r w:rsidR="00F30CD1" w:rsidRPr="00E435C0">
        <w:t>(Land Use Land Cover</w:t>
      </w:r>
      <w:proofErr w:type="gramStart"/>
      <w:r w:rsidR="00F30CD1" w:rsidRPr="00E435C0">
        <w:t>)</w:t>
      </w:r>
      <w:proofErr w:type="gramEnd"/>
      <w:r w:rsidR="00F30CD1" w:rsidRPr="00E435C0">
        <w:t xml:space="preserve"> </w:t>
      </w:r>
      <w:r w:rsidR="00A05FC1" w:rsidRPr="00E435C0">
        <w:t xml:space="preserve">and geographic regions included </w:t>
      </w:r>
      <w:r w:rsidR="004E2336" w:rsidRPr="00E435C0">
        <w:t xml:space="preserve">in </w:t>
      </w:r>
      <w:r w:rsidR="00A05FC1" w:rsidRPr="00E435C0">
        <w:t xml:space="preserve">this gaging network. </w:t>
      </w:r>
      <w:r w:rsidR="006E11A5" w:rsidRPr="00E435C0">
        <w:t xml:space="preserve">Further, assumptions </w:t>
      </w:r>
      <w:r w:rsidR="00F71A6F" w:rsidRPr="00E435C0">
        <w:t xml:space="preserve">about the geometry of </w:t>
      </w:r>
      <w:r w:rsidR="006E11A5" w:rsidRPr="00E435C0">
        <w:t>a</w:t>
      </w:r>
      <w:r w:rsidR="00F71A6F" w:rsidRPr="00E435C0">
        <w:t xml:space="preserve"> </w:t>
      </w:r>
      <w:r w:rsidR="00C5122C" w:rsidRPr="00E435C0">
        <w:t xml:space="preserve">river’s </w:t>
      </w:r>
      <w:r w:rsidR="00F71A6F" w:rsidRPr="00E435C0">
        <w:t>cross</w:t>
      </w:r>
      <w:r w:rsidR="00C5122C" w:rsidRPr="00E435C0">
        <w:t xml:space="preserve">-section were made that could be inconsistent in some </w:t>
      </w:r>
      <w:r w:rsidR="009E53C9" w:rsidRPr="00E435C0">
        <w:t>channels, such as</w:t>
      </w:r>
      <w:r w:rsidR="008E2DA0" w:rsidRPr="00E435C0">
        <w:t xml:space="preserve"> where the </w:t>
      </w:r>
      <w:r w:rsidR="008D4592" w:rsidRPr="00E435C0">
        <w:t xml:space="preserve">local </w:t>
      </w:r>
      <w:r w:rsidR="008E2DA0" w:rsidRPr="00E435C0">
        <w:t xml:space="preserve">slope </w:t>
      </w:r>
      <w:r w:rsidR="002A0F7D" w:rsidRPr="00E435C0">
        <w:t xml:space="preserve">is </w:t>
      </w:r>
      <w:r w:rsidR="00BD0C8C" w:rsidRPr="00E435C0">
        <w:t xml:space="preserve">too high </w:t>
      </w:r>
      <w:r w:rsidR="008B20EA" w:rsidRPr="00E435C0">
        <w:t xml:space="preserve">or width too narrow </w:t>
      </w:r>
      <w:r w:rsidR="00BD0C8C" w:rsidRPr="00E435C0">
        <w:t xml:space="preserve">to </w:t>
      </w:r>
      <w:r w:rsidR="006B1456" w:rsidRPr="00E435C0">
        <w:t>maintain that</w:t>
      </w:r>
      <w:r w:rsidR="002F5B3C" w:rsidRPr="00E435C0">
        <w:t xml:space="preserve"> </w:t>
      </w:r>
      <w:r w:rsidR="009E53C9" w:rsidRPr="00E435C0">
        <w:t xml:space="preserve">a </w:t>
      </w:r>
      <w:r w:rsidR="00BD0C8C" w:rsidRPr="00E435C0">
        <w:t>hydraulic radius</w:t>
      </w:r>
      <w:r w:rsidR="006B1456" w:rsidRPr="00E435C0">
        <w:t xml:space="preserve"> </w:t>
      </w:r>
      <w:r w:rsidR="009E53C9" w:rsidRPr="00E435C0">
        <w:t xml:space="preserve">that is </w:t>
      </w:r>
      <w:r w:rsidR="000B1B33" w:rsidRPr="00E435C0">
        <w:lastRenderedPageBreak/>
        <w:t>approximately</w:t>
      </w:r>
      <w:r w:rsidR="002F5B3C" w:rsidRPr="00E435C0">
        <w:t xml:space="preserve"> equal to the </w:t>
      </w:r>
      <w:r w:rsidR="008B20EA" w:rsidRPr="00E435C0">
        <w:t>hydraulic</w:t>
      </w:r>
      <w:r w:rsidR="009E53C9" w:rsidRPr="00E435C0">
        <w:t xml:space="preserve"> </w:t>
      </w:r>
      <w:r w:rsidR="002F5B3C" w:rsidRPr="00E435C0">
        <w:t>depth</w:t>
      </w:r>
      <w:r w:rsidR="00A96DBB" w:rsidRPr="00E435C0">
        <w:t xml:space="preserve">. </w:t>
      </w:r>
      <w:r w:rsidRPr="00E435C0">
        <w:t>Further</w:t>
      </w:r>
      <w:r w:rsidR="00626E41" w:rsidRPr="00E435C0">
        <w:t>more,</w:t>
      </w:r>
      <w:r w:rsidRPr="00E435C0">
        <w:t xml:space="preserve"> the vegetation phenology is a snapshot in time, </w:t>
      </w:r>
      <w:r w:rsidR="008B20EA" w:rsidRPr="00E435C0">
        <w:t>though</w:t>
      </w:r>
      <w:r w:rsidRPr="00E435C0">
        <w:t xml:space="preserve"> it has been established that considerable differences exist in vegetation characteristics between seasons that </w:t>
      </w:r>
      <w:r w:rsidR="008B20EA" w:rsidRPr="00E435C0">
        <w:t xml:space="preserve">can </w:t>
      </w:r>
      <w:r w:rsidRPr="00E435C0">
        <w:t xml:space="preserve">impact flow </w:t>
      </w:r>
      <w:r w:rsidRPr="00E435C0">
        <w:fldChar w:fldCharType="begin"/>
      </w:r>
      <w:r w:rsidRPr="00E435C0">
        <w:instrText xml:space="preserve"> ADDIN ZOTERO_ITEM CSL_CITATION {"citationID":"oJi0Xm8Z","properties":{"formattedCitation":"(Bond et al., 2020)","plainCitation":"(Bond et al., 2020)","noteIndex":0},"citationItems":[{"id":503,"uris":["http://zotero.org/users/9768842/items/GQIF5SZ8"],"itemData":{"id":503,"type":"article-journal","abstract":"There is considerable interest in how headwater management may influence downstream flood peaks in temperate humid regions. However, there is a dearth of data on flow velocities across headwater hillslopes and limited understanding of whether surface flow velocity is influenced by seasonal changes in roughness through vegetation cycles or management. A portable hillslope flume was used to investigate overland flow velocities for four common headwater grassland habitats in northern England: Low-density Grazing, Hay Meadow, Rank Grassland and Juncus effusus Rush pasture. Overland flow velocity was measured in replicate plots for each habitat, in response to three applied flow rates, with the experiments repeated during five different periods of the annual grassland cycle. Mean annual overland flow velocity was significantly lower for the Rank Grassland habitat (0.026 m/s) followed by Low-density Grazing and Rushes (0.032 and 0.029 m/s), then Hay Meadows (0.041 m/s), which had the greatest mean annual velocity (examples from 12 L/min flow rate). Applying our mean overland flow velocities to a theoretical 100 m hillslope suggests overland flow is delayed by &gt;1 hr on Rank Grassland when compared to Hay Meadows in an 18 mm storm. Thus grassland management is important for slowing overland flow and delaying peak flows across upland headwaters. Surface roughness was also strongly controlled by annual cycles of vegetation growth, decay, grazing and cutting. Winter overland flow velocities were significantly higher than in summer, varying between 0.004 m/s (Rushes, November) and 0.034 m/s (Rushes, June); and velocities significantly increased after cutting varying between 0.006 m/s (Hay meadows, July) and 0.054 m/s (Hay meadows, September). These results show that seasonal vegetation change should be incorporated into flood modelling, as cycles of surface roughness in grasslands strongly modify overland flow, potentially having a large impact on downstream flood peak and timing. Our data also showed that Darcy-Weisbach roughness approximations greatly over-estimated measured flow velocities.","container-title":"Hydrological Processes","DOI":"10.1002/hyp.13842","ISSN":"1099-1085","issue":"18","language":"en","note":"_eprint: https://onlinelibrary.wiley.com/doi/pdf/10.1002/hyp.13842","page":"3777-3791","source":"Wiley Online Library","title":"Seasonal vegetation and management influence overland flow velocity and roughness in upland grasslands","volume":"34","author":[{"family":"Bond","given":"Stephanie"},{"family":"Kirkby","given":"Mike J."},{"family":"Johnston","given":"Jean"},{"family":"Crowle","given":"Alistair"},{"family":"Holden","given":"Joseph"}],"issued":{"date-parts":[["2020"]]}}}],"schema":"https://github.com/citation-style-language/schema/raw/master/csl-citation.json"} </w:instrText>
      </w:r>
      <w:r w:rsidRPr="00E435C0">
        <w:fldChar w:fldCharType="separate"/>
      </w:r>
      <w:r w:rsidRPr="00E435C0">
        <w:t>(Bond et al., 2020)</w:t>
      </w:r>
      <w:r w:rsidRPr="00E435C0">
        <w:fldChar w:fldCharType="end"/>
      </w:r>
      <w:r w:rsidRPr="00E435C0">
        <w:t>. To provide high-quality biomass and height estimates, the GEDI averages measurements</w:t>
      </w:r>
      <w:r w:rsidR="008B20EA" w:rsidRPr="00E435C0">
        <w:t xml:space="preserve">. The resulting </w:t>
      </w:r>
      <w:r w:rsidRPr="00E435C0">
        <w:t>derived products do not represent a specific time of year, in contrast with USGS field measurements that were made on a specific date.</w:t>
      </w:r>
      <w:r w:rsidR="008D4592" w:rsidRPr="00E435C0">
        <w:t xml:space="preserve"> Finally, v</w:t>
      </w:r>
      <w:r w:rsidRPr="00E435C0">
        <w:t>egetation data were sampled from GEDI’s 1 km</w:t>
      </w:r>
      <w:r w:rsidRPr="00E435C0">
        <w:rPr>
          <w:vertAlign w:val="superscript"/>
        </w:rPr>
        <w:t>2</w:t>
      </w:r>
      <w:r w:rsidRPr="00E435C0">
        <w:t xml:space="preserve"> gridded product for the area around each USGS gauge site, which leads to questions regarding what </w:t>
      </w:r>
      <w:r w:rsidR="006E372E" w:rsidRPr="00E435C0">
        <w:t>area</w:t>
      </w:r>
      <w:r w:rsidRPr="00E435C0">
        <w:t xml:space="preserve"> </w:t>
      </w:r>
      <w:r w:rsidR="32CAB552" w:rsidRPr="00E435C0">
        <w:t>influences</w:t>
      </w:r>
      <w:r w:rsidRPr="00E435C0">
        <w:t xml:space="preserve"> Manning’s roughness. Energy dissipation </w:t>
      </w:r>
      <w:r w:rsidR="00E14B32" w:rsidRPr="00E435C0">
        <w:t xml:space="preserve">occurs via multiple processes </w:t>
      </w:r>
      <w:r w:rsidRPr="00E435C0">
        <w:t xml:space="preserve">during a flood </w:t>
      </w:r>
      <w:r w:rsidRPr="00E435C0">
        <w:fldChar w:fldCharType="begin"/>
      </w:r>
      <w:r w:rsidR="007358AF" w:rsidRPr="00E435C0">
        <w:instrText xml:space="preserve"> ADDIN ZOTERO_ITEM CSL_CITATION {"citationID":"DN0mNfPj","properties":{"formattedCitation":"(R. Ferguson, 2013)","plainCitation":"(R. Ferguson, 2013)","noteIndex":0},"citationItems":[{"id":"e8xyYrIr/JLQIblhF","uris":["http://zotero.org/users/9768842/items/3SEZNL5R"],"itemData":{"id":"elSZPOyf/MDI1nLg0","type":"chapter","container-title":"Treatise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Pr="00E435C0">
        <w:fldChar w:fldCharType="separate"/>
      </w:r>
      <w:r w:rsidR="00D4722B" w:rsidRPr="00E435C0">
        <w:t>(R. Ferguson, 2013)</w:t>
      </w:r>
      <w:r w:rsidRPr="00E435C0">
        <w:fldChar w:fldCharType="end"/>
      </w:r>
      <w:r w:rsidRPr="00E435C0">
        <w:t xml:space="preserve">, but the area of influence that has a direct effect on flow is </w:t>
      </w:r>
      <w:r w:rsidR="00E14B32" w:rsidRPr="00E435C0">
        <w:t>poorly understood and is worthy of further study</w:t>
      </w:r>
      <w:r w:rsidRPr="00E435C0">
        <w:t>. The assumption made for these calculations is that the 1 km</w:t>
      </w:r>
      <w:r w:rsidRPr="00E435C0">
        <w:rPr>
          <w:vertAlign w:val="superscript"/>
        </w:rPr>
        <w:t>2</w:t>
      </w:r>
      <w:r w:rsidRPr="00E435C0">
        <w:t xml:space="preserve"> average for the vegetation characteristics taken from GEDI measurements is representative of the actual area influenc</w:t>
      </w:r>
      <w:r w:rsidR="00E14B32" w:rsidRPr="00E435C0">
        <w:t>ing</w:t>
      </w:r>
      <w:r w:rsidRPr="00E435C0">
        <w:t xml:space="preserve"> energy dissipation during a flood. This assumption may not be valid at sites where there is a large variation in land cover</w:t>
      </w:r>
      <w:r w:rsidR="00E14B32" w:rsidRPr="00E435C0">
        <w:t xml:space="preserve"> within a 1 km</w:t>
      </w:r>
      <w:r w:rsidR="00E14B32" w:rsidRPr="00E435C0">
        <w:rPr>
          <w:vertAlign w:val="superscript"/>
        </w:rPr>
        <w:t>2</w:t>
      </w:r>
      <w:r w:rsidR="00E14B32" w:rsidRPr="00E435C0">
        <w:t xml:space="preserve"> grid.</w:t>
      </w:r>
    </w:p>
    <w:p w14:paraId="7C1ABF34" w14:textId="77777777" w:rsidR="001542E3" w:rsidRPr="00E435C0" w:rsidRDefault="001542E3" w:rsidP="0042413B">
      <w:pPr>
        <w:pStyle w:val="Abstract"/>
        <w:spacing w:line="480" w:lineRule="auto"/>
        <w:ind w:firstLine="708"/>
      </w:pPr>
    </w:p>
    <w:p w14:paraId="69D87446" w14:textId="2111B654" w:rsidR="002F3B11" w:rsidRPr="00E435C0" w:rsidRDefault="002F3B11" w:rsidP="0042413B">
      <w:pPr>
        <w:pStyle w:val="Heading-Main"/>
        <w:spacing w:line="480" w:lineRule="auto"/>
      </w:pPr>
      <w:r w:rsidRPr="00E435C0">
        <w:t>5 Conclusions</w:t>
      </w:r>
    </w:p>
    <w:p w14:paraId="58D759C4" w14:textId="5CB5EFC9" w:rsidR="002E6817" w:rsidRPr="00E435C0" w:rsidRDefault="73BED88F" w:rsidP="0042413B">
      <w:pPr>
        <w:pStyle w:val="Abstract"/>
        <w:spacing w:line="480" w:lineRule="auto"/>
        <w:ind w:firstLine="708"/>
        <w:rPr>
          <w:b/>
          <w:bCs/>
        </w:rPr>
      </w:pPr>
      <w:r w:rsidRPr="00E435C0">
        <w:t>Floodplain roughness is a critical aspect of managing floodplains, and its societal relevance will rise with rising floodwaters under climate change</w:t>
      </w:r>
      <w:r w:rsidR="314BF13D" w:rsidRPr="00E435C0">
        <w:t>,</w:t>
      </w:r>
      <w:r w:rsidRPr="00E435C0">
        <w:t xml:space="preserve"> expanding floodplain development</w:t>
      </w:r>
      <w:r w:rsidR="314BF13D" w:rsidRPr="00E435C0">
        <w:t xml:space="preserve">, aging flood infrastructure, and </w:t>
      </w:r>
      <w:r w:rsidR="0758A36F" w:rsidRPr="00E435C0">
        <w:t xml:space="preserve">rising emphasis on floodplain </w:t>
      </w:r>
      <w:r w:rsidR="00E14B32" w:rsidRPr="00E435C0">
        <w:t>reconnection</w:t>
      </w:r>
      <w:r w:rsidR="008B20EA" w:rsidRPr="00E435C0">
        <w:t xml:space="preserve"> for nature-based flood infrastructure and ecological restoration</w:t>
      </w:r>
      <w:r w:rsidRPr="00E435C0">
        <w:t xml:space="preserve">. </w:t>
      </w:r>
      <w:r w:rsidR="29D2BF73" w:rsidRPr="00E435C0">
        <w:t>While</w:t>
      </w:r>
      <w:r w:rsidRPr="00E435C0">
        <w:t xml:space="preserve"> Manning’s </w:t>
      </w:r>
      <w:r w:rsidRPr="00E435C0">
        <w:rPr>
          <w:i/>
          <w:iCs/>
        </w:rPr>
        <w:t>n</w:t>
      </w:r>
      <w:r w:rsidRPr="00E435C0">
        <w:t xml:space="preserve"> is typically assumed to be a constant value in </w:t>
      </w:r>
      <w:r w:rsidR="008B20EA" w:rsidRPr="00E435C0">
        <w:t>floodplain analysis and engineering applications,</w:t>
      </w:r>
      <w:r w:rsidR="43D6DC43" w:rsidRPr="00E435C0">
        <w:t xml:space="preserve"> this study </w:t>
      </w:r>
      <w:r w:rsidR="00E14B32" w:rsidRPr="00E435C0">
        <w:t xml:space="preserve">demonstrated </w:t>
      </w:r>
      <w:r w:rsidR="43D6DC43" w:rsidRPr="00E435C0">
        <w:t>that accurate estimation of current and modified floodplain roughness should rely on vegetation submergence and velocities, with biomass playing a smaller role.</w:t>
      </w:r>
      <w:r w:rsidR="002E6817" w:rsidRPr="00E435C0">
        <w:fldChar w:fldCharType="begin"/>
      </w:r>
      <w:r w:rsidR="007358AF" w:rsidRPr="00E435C0">
        <w:instrText xml:space="preserve"> ADDIN ZOTERO_ITEM CSL_CITATION {"citationID":"ju9o49qw","properties":{"formattedCitation":"(Box et al., 2021; Chow, 1959; Ferguson, 2013)","plainCitation":"(Box et al., 2021; Chow, 1959; Ferguson, 2013)","dontUpdate":true,"noteIndex":0},"citationItems":[{"id":"e8xyYrIr/Hbfp9FtW","uris":["http://zotero.org/users/9768842/items/37K8PDUN"],"itemData":{"id":205,"type":"article-journal","abstract":"River flows are greatly influenced by floodplain vegetation with implications on hydrological and hydraulic conditions from cross-sectional to river reach scales. Flow models need to reliably reflect changes in the riverine environment, such as vegetation growth associated with altered flow regimes, increased sediment loads and eutrophication. Leaf area index (LAI) based approaches are increasingly used as tools to predict the flow resistance caused by natural vegetation. However, current LAI-based modelling involves uncertainty at low and high vegetation densities and flow velocities due to a lack of research and validation at the outer ranges. The aim of this paper is to investigate the flow resistance for a mixture of flexible floodplain vegetation consisting of woody plants and understory grasses of low to high densities (LAI = 1–5) over a wide range of mean flow velocities (0.05–1.2 m/s) at low relative submergences of 1–2. A novel flume setup was designed by using high-accuracy pressure sensors to measure flow resistance and force sensors to measure plant drag forces. Flow resistance decreased by 35–90% when the submergence H/hv increased from 1 to 2, which is a highly relevant range for floodplain flows. The results provided new evidence that LAI-based modelling of vegetative friction factors can be reliably extended from low to high LAI values for non-submerged vegetation. However, adjustments to existing LAI-based approaches are required for water stages higher than the vegetation height. Furthermore, the friction by the understory grasses cannot be neglected as often assumed in literature especially for cases of low plant densities and low relative submergences.","container-title":"Journal of Hydrology","DOI":"10.1016/j.jhydrol.2021.126593","ISSN":"0022-1694","journalAbbreviation":"Journal of Hydrology","language":"en","page":"126593","source":"ScienceDirect","title":"Flow resistance of floodplain vegetation mixtures for modelling river flows","volume":"601","author":[{"family":"Box","given":"Walter"},{"family":"Järvelä","given":"Juha"},{"family":"Västilä","given":"Kaisa"}],"issued":{"date-parts":[["2021",10,1]]}}},{"id":214,"uris":["http://zotero.org/users/9768842/items/Y9UZYWTE"],"itemData":{"id":214,"type":"webpage","title":"Chow, V. T. (1959). Open-channel hydraulics. McGraw-Hill, New York - Google Search","author":[{"family":"Chow","given":"Ven Te"}],"accessed":{"date-parts":[["2022",8,28]]},"issued":{"date-parts":[["1959"]]}}},{"id":"e8xyYrIr/JLQIblhF","uris":["http://zotero.org/users/9768842/items/3SEZNL5R"],"itemData":{"id":"kLC8pZR7/HxOI2xF6","type":"chapter","container-title":"Treatise on Geomorphology","ISBN":"978-0-08-088522-3","language":"en","note":"DOI: 10.1016/B978-0-12-374739-6.00230-X","page":"50-68","publisher":"Elsevier","source":"DOI.org (Crossref)","title":"9.5 Reach-Scale Flow Resistance","URL":"https://linkinghub.elsevier.com/retrieve/pii/B978012374739600230X","author":[{"family":"Ferguson","given":"R."}],"accessed":{"date-parts":[["2022",9,1]]},"issued":{"date-parts":[["2013"]]}}}],"schema":"https://github.com/citation-style-language/schema/raw/master/csl-citation.json"} </w:instrText>
      </w:r>
      <w:r w:rsidR="002E6817" w:rsidRPr="00E435C0">
        <w:fldChar w:fldCharType="end"/>
      </w:r>
    </w:p>
    <w:p w14:paraId="589B8D24" w14:textId="47C8E40D" w:rsidR="002E6817" w:rsidRPr="00E435C0" w:rsidRDefault="002E6817" w:rsidP="0042413B">
      <w:pPr>
        <w:pStyle w:val="Abstract"/>
        <w:spacing w:line="480" w:lineRule="auto"/>
        <w:ind w:firstLine="708"/>
        <w:rPr>
          <w:b/>
          <w:bCs/>
        </w:rPr>
      </w:pPr>
      <w:r w:rsidRPr="00E435C0">
        <w:lastRenderedPageBreak/>
        <w:t xml:space="preserve"> The dataset of floodplain Manning’s </w:t>
      </w:r>
      <w:r w:rsidRPr="00E435C0">
        <w:rPr>
          <w:i/>
        </w:rPr>
        <w:t>n</w:t>
      </w:r>
      <w:r w:rsidRPr="00E435C0">
        <w:t xml:space="preserve"> generated in this work, and its correlation with flow and vegetation characteristics, further support</w:t>
      </w:r>
      <w:r w:rsidR="00E14B32" w:rsidRPr="00E435C0">
        <w:t>ed</w:t>
      </w:r>
      <w:r w:rsidRPr="00E435C0">
        <w:t xml:space="preserve"> prior findings that flow resistance during a flood increases with submergence depth and biomass</w:t>
      </w:r>
      <w:r w:rsidR="001542E3" w:rsidRPr="00E435C0">
        <w:t>,</w:t>
      </w:r>
      <w:r w:rsidRPr="00E435C0">
        <w:t xml:space="preserve"> </w:t>
      </w:r>
      <w:r w:rsidR="001F4CDF" w:rsidRPr="00E435C0">
        <w:t xml:space="preserve">and that </w:t>
      </w:r>
      <w:r w:rsidR="008B20EA" w:rsidRPr="00E435C0">
        <w:t xml:space="preserve">resistance is inversely related to </w:t>
      </w:r>
      <w:r w:rsidRPr="00E435C0">
        <w:t xml:space="preserve">flow velocity. </w:t>
      </w:r>
      <w:r w:rsidR="001F4CDF" w:rsidRPr="00E435C0">
        <w:t>This work utilized</w:t>
      </w:r>
      <w:r w:rsidRPr="00E435C0">
        <w:t xml:space="preserve"> a unique coupling of existing datasets, considering tall vegetation biomes, and </w:t>
      </w:r>
      <w:r w:rsidR="001F4CDF" w:rsidRPr="00E435C0">
        <w:t xml:space="preserve">demonstrated </w:t>
      </w:r>
      <w:r w:rsidRPr="00E435C0">
        <w:t xml:space="preserve">how flow and vegetation properties influence roughness across a wide range of regions and climates in the continental United States, rather than limited to a specific site or sites. Results should be generalizable across scales and landscapes </w:t>
      </w:r>
      <w:r w:rsidR="00C0729D" w:rsidRPr="00E435C0">
        <w:t xml:space="preserve">that align with the input </w:t>
      </w:r>
      <w:r w:rsidR="005032F1" w:rsidRPr="00E435C0">
        <w:t>datasets and</w:t>
      </w:r>
      <w:r w:rsidRPr="00E435C0">
        <w:t xml:space="preserve"> should support the management and restoration community in establishing sustainable floodplains.</w:t>
      </w:r>
    </w:p>
    <w:p w14:paraId="3BB30AAB" w14:textId="4E0066B5" w:rsidR="00995CAA" w:rsidRPr="00E435C0" w:rsidRDefault="00995CAA" w:rsidP="0042413B">
      <w:pPr>
        <w:pStyle w:val="Heading-Main"/>
        <w:spacing w:line="480" w:lineRule="auto"/>
      </w:pPr>
      <w:r w:rsidRPr="00E435C0">
        <w:t>Acknowledgments</w:t>
      </w:r>
    </w:p>
    <w:p w14:paraId="17181A26" w14:textId="49FF0B0F" w:rsidR="00ED121C" w:rsidRPr="00E435C0" w:rsidRDefault="00ED121C" w:rsidP="0042413B">
      <w:pPr>
        <w:pStyle w:val="Abstract"/>
        <w:spacing w:line="480" w:lineRule="auto"/>
        <w:ind w:firstLine="708"/>
      </w:pPr>
      <w:r w:rsidRPr="00E435C0">
        <w:t xml:space="preserve">We would like to acknowledge the support of </w:t>
      </w:r>
      <w:r w:rsidR="000B1861" w:rsidRPr="00E435C0">
        <w:t xml:space="preserve">the </w:t>
      </w:r>
      <w:r w:rsidRPr="00E435C0">
        <w:t xml:space="preserve">Fulbright Program </w:t>
      </w:r>
      <w:r w:rsidR="002B037B" w:rsidRPr="00E435C0">
        <w:t>and</w:t>
      </w:r>
      <w:r w:rsidRPr="00E435C0">
        <w:t xml:space="preserve"> Oregon State University through the Graduate Fellowship program. This project has been partially funded </w:t>
      </w:r>
      <w:r w:rsidR="00180F99" w:rsidRPr="00E435C0">
        <w:t>by</w:t>
      </w:r>
      <w:r w:rsidR="007933E0" w:rsidRPr="00E435C0">
        <w:t xml:space="preserve"> the</w:t>
      </w:r>
      <w:r w:rsidR="00180F99" w:rsidRPr="00E435C0">
        <w:t xml:space="preserve"> </w:t>
      </w:r>
      <w:r w:rsidRPr="00E435C0">
        <w:t>NASA</w:t>
      </w:r>
      <w:r w:rsidR="001542E3" w:rsidRPr="00E435C0">
        <w:t xml:space="preserve"> grant 80NSSC21K0198</w:t>
      </w:r>
      <w:r w:rsidR="009A1F18" w:rsidRPr="00E435C0">
        <w:t xml:space="preserve"> award to Stephen Good</w:t>
      </w:r>
      <w:r w:rsidRPr="00E435C0">
        <w:t>. We would also like to thank Cara Walter and Harrison Lee Kutz for their support with the processing and retrieval of NHD and GEDI data.</w:t>
      </w:r>
    </w:p>
    <w:p w14:paraId="563FF18C" w14:textId="7A9A0CBA" w:rsidR="006D142E" w:rsidRPr="00E435C0" w:rsidRDefault="002E1904" w:rsidP="0042413B">
      <w:pPr>
        <w:pStyle w:val="Heading-Main"/>
        <w:spacing w:line="480" w:lineRule="auto"/>
      </w:pPr>
      <w:r w:rsidRPr="00E435C0">
        <w:t>Open Research</w:t>
      </w:r>
    </w:p>
    <w:p w14:paraId="5CD0EFA1" w14:textId="20A0B7EF" w:rsidR="009A1F18" w:rsidRPr="00E435C0" w:rsidRDefault="000B16FA" w:rsidP="00D17AB9">
      <w:pPr>
        <w:pStyle w:val="Abstract"/>
        <w:spacing w:line="480" w:lineRule="auto"/>
        <w:ind w:firstLine="708"/>
      </w:pPr>
      <w:r w:rsidRPr="00E435C0">
        <w:t>The scripts to reproduce the dataset, figures and tables in this study are openly available at Barinas et al. (2023) under a Creative Commons Attribution License format (free registration required).</w:t>
      </w:r>
      <w:r w:rsidR="009A1F18" w:rsidRPr="00E435C0">
        <w:br w:type="page"/>
      </w:r>
    </w:p>
    <w:p w14:paraId="40BB7D94" w14:textId="3A1BEFF2" w:rsidR="0056596D" w:rsidRPr="00E435C0" w:rsidRDefault="005E6870" w:rsidP="0042413B">
      <w:pPr>
        <w:pStyle w:val="Heading-Main"/>
        <w:spacing w:line="480" w:lineRule="auto"/>
        <w:rPr>
          <w:lang w:val="es-US"/>
        </w:rPr>
      </w:pPr>
      <w:r w:rsidRPr="00E435C0">
        <w:rPr>
          <w:lang w:val="es-US"/>
        </w:rPr>
        <w:lastRenderedPageBreak/>
        <w:t xml:space="preserve">6 </w:t>
      </w:r>
      <w:proofErr w:type="spellStart"/>
      <w:r w:rsidRPr="00E435C0">
        <w:rPr>
          <w:lang w:val="es-US"/>
        </w:rPr>
        <w:t>References</w:t>
      </w:r>
      <w:proofErr w:type="spellEnd"/>
    </w:p>
    <w:p w14:paraId="208E1F01" w14:textId="77777777" w:rsidR="007358AF" w:rsidRPr="00E435C0" w:rsidRDefault="0056596D" w:rsidP="007358AF">
      <w:pPr>
        <w:pStyle w:val="Bibliography"/>
        <w:rPr>
          <w:sz w:val="24"/>
        </w:rPr>
      </w:pPr>
      <w:r w:rsidRPr="00E435C0">
        <w:fldChar w:fldCharType="begin"/>
      </w:r>
      <w:r w:rsidR="005B4F1F" w:rsidRPr="00E435C0">
        <w:rPr>
          <w:lang w:val="es-US"/>
        </w:rPr>
        <w:instrText xml:space="preserve"> ADDIN ZOTERO_BIBL {"uncited":[],"omitted":[],"custom":[]} CSL_BIBLIOGRAPHY </w:instrText>
      </w:r>
      <w:r w:rsidRPr="00E435C0">
        <w:fldChar w:fldCharType="separate"/>
      </w:r>
      <w:r w:rsidR="007358AF" w:rsidRPr="00E435C0">
        <w:rPr>
          <w:sz w:val="24"/>
          <w:lang w:val="es-US"/>
        </w:rPr>
        <w:t xml:space="preserve">Asante, K. O., Artan, G. A., Pervez, S., Bandaragoda, C., &amp; Verdin, J. P. (2008). </w:t>
      </w:r>
      <w:r w:rsidR="007358AF" w:rsidRPr="00E435C0">
        <w:rPr>
          <w:sz w:val="24"/>
        </w:rPr>
        <w:t xml:space="preserve">Technical manual for the geospatial stream flow model (GeoSFM). </w:t>
      </w:r>
      <w:r w:rsidR="007358AF" w:rsidRPr="00E435C0">
        <w:rPr>
          <w:i/>
          <w:iCs/>
          <w:sz w:val="24"/>
        </w:rPr>
        <w:t>World Wide Web</w:t>
      </w:r>
      <w:r w:rsidR="007358AF" w:rsidRPr="00E435C0">
        <w:rPr>
          <w:sz w:val="24"/>
        </w:rPr>
        <w:t xml:space="preserve">, </w:t>
      </w:r>
      <w:r w:rsidR="007358AF" w:rsidRPr="00E435C0">
        <w:rPr>
          <w:i/>
          <w:iCs/>
          <w:sz w:val="24"/>
        </w:rPr>
        <w:t>605</w:t>
      </w:r>
      <w:r w:rsidR="007358AF" w:rsidRPr="00E435C0">
        <w:rPr>
          <w:sz w:val="24"/>
        </w:rPr>
        <w:t>, 594–6151.</w:t>
      </w:r>
    </w:p>
    <w:p w14:paraId="07482AEE" w14:textId="77777777" w:rsidR="007358AF" w:rsidRPr="00E435C0" w:rsidRDefault="007358AF" w:rsidP="007358AF">
      <w:pPr>
        <w:pStyle w:val="Bibliography"/>
        <w:rPr>
          <w:sz w:val="24"/>
        </w:rPr>
      </w:pPr>
      <w:r w:rsidRPr="00E435C0">
        <w:rPr>
          <w:sz w:val="24"/>
        </w:rPr>
        <w:t>Barinas, G., Good, S., &amp; Tullos, D. (2023). Dataset and Supporting Information for Barinas et. al. Floodplain Roughness Study [Data set]. CUAHSI HydroShare. Retrieved from https://doi.org/10.4211/hs.8c5b71cf3a7449b0b94c447a3e87e63f</w:t>
      </w:r>
    </w:p>
    <w:p w14:paraId="76A39D76" w14:textId="77777777" w:rsidR="007358AF" w:rsidRPr="00E435C0" w:rsidRDefault="007358AF" w:rsidP="007358AF">
      <w:pPr>
        <w:pStyle w:val="Bibliography"/>
        <w:rPr>
          <w:sz w:val="24"/>
        </w:rPr>
      </w:pPr>
      <w:r w:rsidRPr="00E435C0">
        <w:rPr>
          <w:sz w:val="24"/>
        </w:rPr>
        <w:t xml:space="preserve">Bond, S., Kirkby, M. J., Johnston, J., Crowle, A., &amp; Holden, J. (2020). Seasonal vegetation and management influence overland flow velocity and roughness in upland grasslands. </w:t>
      </w:r>
      <w:r w:rsidRPr="00E435C0">
        <w:rPr>
          <w:i/>
          <w:iCs/>
          <w:sz w:val="24"/>
        </w:rPr>
        <w:t>Hydrological Processes</w:t>
      </w:r>
      <w:r w:rsidRPr="00E435C0">
        <w:rPr>
          <w:sz w:val="24"/>
        </w:rPr>
        <w:t xml:space="preserve">, </w:t>
      </w:r>
      <w:r w:rsidRPr="00E435C0">
        <w:rPr>
          <w:i/>
          <w:iCs/>
          <w:sz w:val="24"/>
        </w:rPr>
        <w:t>34</w:t>
      </w:r>
      <w:r w:rsidRPr="00E435C0">
        <w:rPr>
          <w:sz w:val="24"/>
        </w:rPr>
        <w:t>(18), 3777–3791. https://doi.org/10.1002/hyp.13842</w:t>
      </w:r>
    </w:p>
    <w:p w14:paraId="7DDCB020" w14:textId="77777777" w:rsidR="007358AF" w:rsidRPr="00E435C0" w:rsidRDefault="007358AF" w:rsidP="007358AF">
      <w:pPr>
        <w:pStyle w:val="Bibliography"/>
        <w:rPr>
          <w:sz w:val="24"/>
        </w:rPr>
      </w:pPr>
      <w:r w:rsidRPr="00E435C0">
        <w:rPr>
          <w:sz w:val="24"/>
        </w:rPr>
        <w:t xml:space="preserve">Box, W., Järvelä, J., &amp; Västilä, K. (2021). Flow resistance of floodplain vegetation mixtures for modelling river flows. </w:t>
      </w:r>
      <w:r w:rsidRPr="00E435C0">
        <w:rPr>
          <w:i/>
          <w:iCs/>
          <w:sz w:val="24"/>
        </w:rPr>
        <w:t>Journal of Hydrology</w:t>
      </w:r>
      <w:r w:rsidRPr="00E435C0">
        <w:rPr>
          <w:sz w:val="24"/>
        </w:rPr>
        <w:t xml:space="preserve">, </w:t>
      </w:r>
      <w:r w:rsidRPr="00E435C0">
        <w:rPr>
          <w:i/>
          <w:iCs/>
          <w:sz w:val="24"/>
        </w:rPr>
        <w:t>601</w:t>
      </w:r>
      <w:r w:rsidRPr="00E435C0">
        <w:rPr>
          <w:sz w:val="24"/>
        </w:rPr>
        <w:t>, 126593. https://doi.org/10.1016/j.jhydrol.2021.126593</w:t>
      </w:r>
    </w:p>
    <w:p w14:paraId="165DA9FF" w14:textId="77777777" w:rsidR="007358AF" w:rsidRPr="00E435C0" w:rsidRDefault="007358AF" w:rsidP="007358AF">
      <w:pPr>
        <w:pStyle w:val="Bibliography"/>
        <w:rPr>
          <w:sz w:val="24"/>
        </w:rPr>
      </w:pPr>
      <w:r w:rsidRPr="00E435C0">
        <w:rPr>
          <w:sz w:val="24"/>
        </w:rPr>
        <w:t xml:space="preserve">Bulti, D. T., &amp; Abebe, B. G. (2020). A review of flood modeling methods for urban pluvial flood application. </w:t>
      </w:r>
      <w:r w:rsidRPr="00E435C0">
        <w:rPr>
          <w:i/>
          <w:iCs/>
          <w:sz w:val="24"/>
        </w:rPr>
        <w:t>Modeling Earth Systems and Environment</w:t>
      </w:r>
      <w:r w:rsidRPr="00E435C0">
        <w:rPr>
          <w:sz w:val="24"/>
        </w:rPr>
        <w:t xml:space="preserve">, </w:t>
      </w:r>
      <w:r w:rsidRPr="00E435C0">
        <w:rPr>
          <w:i/>
          <w:iCs/>
          <w:sz w:val="24"/>
        </w:rPr>
        <w:t>6</w:t>
      </w:r>
      <w:r w:rsidRPr="00E435C0">
        <w:rPr>
          <w:sz w:val="24"/>
        </w:rPr>
        <w:t>(3), 1293–1302. https://doi.org/10.1007/s40808-020-00803-z</w:t>
      </w:r>
    </w:p>
    <w:p w14:paraId="224F648B" w14:textId="77777777" w:rsidR="007358AF" w:rsidRPr="00E435C0" w:rsidRDefault="007358AF" w:rsidP="007358AF">
      <w:pPr>
        <w:pStyle w:val="Bibliography"/>
        <w:rPr>
          <w:sz w:val="24"/>
        </w:rPr>
      </w:pPr>
      <w:r w:rsidRPr="00E435C0">
        <w:rPr>
          <w:sz w:val="24"/>
        </w:rPr>
        <w:t>Chow, V. T. (1959). Chow, V. T. (1959). Open-channel hydraulics. McGraw-Hill, New York - Google Search. Retrieved August 28, 2022, from</w:t>
      </w:r>
    </w:p>
    <w:p w14:paraId="5AD0F838" w14:textId="77777777" w:rsidR="007358AF" w:rsidRPr="00E435C0" w:rsidRDefault="007358AF" w:rsidP="007358AF">
      <w:pPr>
        <w:pStyle w:val="Bibliography"/>
        <w:rPr>
          <w:sz w:val="24"/>
        </w:rPr>
      </w:pPr>
      <w:r w:rsidRPr="00E435C0">
        <w:rPr>
          <w:sz w:val="24"/>
        </w:rPr>
        <w:t xml:space="preserve">Cowan, W. L. (1956). Estimating hydraulic roughness coefficients. </w:t>
      </w:r>
      <w:r w:rsidRPr="00E435C0">
        <w:rPr>
          <w:i/>
          <w:iCs/>
          <w:sz w:val="24"/>
        </w:rPr>
        <w:t>Agricultural Engineering</w:t>
      </w:r>
      <w:r w:rsidRPr="00E435C0">
        <w:rPr>
          <w:sz w:val="24"/>
        </w:rPr>
        <w:t xml:space="preserve">, </w:t>
      </w:r>
      <w:r w:rsidRPr="00E435C0">
        <w:rPr>
          <w:i/>
          <w:iCs/>
          <w:sz w:val="24"/>
        </w:rPr>
        <w:t>37</w:t>
      </w:r>
      <w:r w:rsidRPr="00E435C0">
        <w:rPr>
          <w:sz w:val="24"/>
        </w:rPr>
        <w:t>(7), 473–475.</w:t>
      </w:r>
    </w:p>
    <w:p w14:paraId="1DCF6060" w14:textId="77777777" w:rsidR="007358AF" w:rsidRPr="00E435C0" w:rsidRDefault="007358AF" w:rsidP="007358AF">
      <w:pPr>
        <w:pStyle w:val="Bibliography"/>
        <w:rPr>
          <w:sz w:val="24"/>
        </w:rPr>
      </w:pPr>
      <w:r w:rsidRPr="00E435C0">
        <w:rPr>
          <w:sz w:val="24"/>
        </w:rPr>
        <w:t xml:space="preserve">Dubayah, R. O., Luthcke, S. B., Sabaka, T. J., Nicholas, J. B., Preaux, S., &amp; Hofton, M. A. (2021). GEDI L3 Gridded Land Surface Metrics, Version 2. </w:t>
      </w:r>
      <w:r w:rsidRPr="00E435C0">
        <w:rPr>
          <w:i/>
          <w:iCs/>
          <w:sz w:val="24"/>
        </w:rPr>
        <w:t>ORNL DAAC</w:t>
      </w:r>
      <w:r w:rsidRPr="00E435C0">
        <w:rPr>
          <w:sz w:val="24"/>
        </w:rPr>
        <w:t>. https://doi.org/10.3334/ORNLDAAC/1952</w:t>
      </w:r>
    </w:p>
    <w:p w14:paraId="37B10929" w14:textId="77777777" w:rsidR="007358AF" w:rsidRPr="00E435C0" w:rsidRDefault="007358AF" w:rsidP="007358AF">
      <w:pPr>
        <w:pStyle w:val="Bibliography"/>
        <w:rPr>
          <w:sz w:val="24"/>
        </w:rPr>
      </w:pPr>
      <w:r w:rsidRPr="00E435C0">
        <w:rPr>
          <w:sz w:val="24"/>
        </w:rPr>
        <w:lastRenderedPageBreak/>
        <w:t xml:space="preserve">Dubayah, R. O., Armston, J., Healey, S. P., Yang, Z., Patterson, P. L., Saarela, S., et al. (2022). GEDI L4B Gridded Aboveground Biomass Density, Version 2. </w:t>
      </w:r>
      <w:r w:rsidRPr="00E435C0">
        <w:rPr>
          <w:i/>
          <w:iCs/>
          <w:sz w:val="24"/>
        </w:rPr>
        <w:t>ORNL DAAC</w:t>
      </w:r>
      <w:r w:rsidRPr="00E435C0">
        <w:rPr>
          <w:sz w:val="24"/>
        </w:rPr>
        <w:t>. https://doi.org/10.3334/ORNLDAAC/2017</w:t>
      </w:r>
    </w:p>
    <w:p w14:paraId="1DB92BE9" w14:textId="77777777" w:rsidR="007358AF" w:rsidRPr="00E435C0" w:rsidRDefault="007358AF" w:rsidP="007358AF">
      <w:pPr>
        <w:pStyle w:val="Bibliography"/>
        <w:rPr>
          <w:sz w:val="24"/>
        </w:rPr>
      </w:pPr>
      <w:r w:rsidRPr="00E435C0">
        <w:rPr>
          <w:sz w:val="24"/>
        </w:rPr>
        <w:t xml:space="preserve">Durand, M., Gleason, C. J., Garambois, P. A., Bjerklie, D., Smith, L. C., Roux, H., et al. (2016). An intercomparison of remote sensing river discharge estimation algorithms from measurements of river height, width, and slope: SWOT DISCHARGE ALGORITHM INTERCOMPARISON. </w:t>
      </w:r>
      <w:r w:rsidRPr="00E435C0">
        <w:rPr>
          <w:i/>
          <w:iCs/>
          <w:sz w:val="24"/>
        </w:rPr>
        <w:t>Water Resources Research</w:t>
      </w:r>
      <w:r w:rsidRPr="00E435C0">
        <w:rPr>
          <w:sz w:val="24"/>
        </w:rPr>
        <w:t xml:space="preserve">, </w:t>
      </w:r>
      <w:r w:rsidRPr="00E435C0">
        <w:rPr>
          <w:i/>
          <w:iCs/>
          <w:sz w:val="24"/>
        </w:rPr>
        <w:t>52</w:t>
      </w:r>
      <w:r w:rsidRPr="00E435C0">
        <w:rPr>
          <w:sz w:val="24"/>
        </w:rPr>
        <w:t>(6), 4527–4549. https://doi.org/10.1002/2015WR018434</w:t>
      </w:r>
    </w:p>
    <w:p w14:paraId="63D63E18" w14:textId="77777777" w:rsidR="007358AF" w:rsidRPr="00E435C0" w:rsidRDefault="007358AF" w:rsidP="007358AF">
      <w:pPr>
        <w:pStyle w:val="Bibliography"/>
        <w:rPr>
          <w:sz w:val="24"/>
        </w:rPr>
      </w:pPr>
      <w:r w:rsidRPr="00E435C0">
        <w:rPr>
          <w:sz w:val="24"/>
        </w:rPr>
        <w:t xml:space="preserve">Fathi-Maghadam, M., &amp; Kouwen, N. (1997). Nonrigid, Nonsubmerged, Vegetative Roughness on Floodplains. </w:t>
      </w:r>
      <w:r w:rsidRPr="00E435C0">
        <w:rPr>
          <w:i/>
          <w:iCs/>
          <w:sz w:val="24"/>
        </w:rPr>
        <w:t>Journal of Hydraulic Engineering</w:t>
      </w:r>
      <w:r w:rsidRPr="00E435C0">
        <w:rPr>
          <w:sz w:val="24"/>
        </w:rPr>
        <w:t xml:space="preserve">, </w:t>
      </w:r>
      <w:r w:rsidRPr="00E435C0">
        <w:rPr>
          <w:i/>
          <w:iCs/>
          <w:sz w:val="24"/>
        </w:rPr>
        <w:t>123</w:t>
      </w:r>
      <w:r w:rsidRPr="00E435C0">
        <w:rPr>
          <w:sz w:val="24"/>
        </w:rPr>
        <w:t>(1), 51–57. https://doi.org/10.1061/(ASCE)0733-9429(1997)123:1(51)</w:t>
      </w:r>
    </w:p>
    <w:p w14:paraId="2D18FE41" w14:textId="77777777" w:rsidR="007358AF" w:rsidRPr="00E435C0" w:rsidRDefault="007358AF" w:rsidP="007358AF">
      <w:pPr>
        <w:pStyle w:val="Bibliography"/>
        <w:rPr>
          <w:sz w:val="24"/>
        </w:rPr>
      </w:pPr>
      <w:r w:rsidRPr="00E435C0">
        <w:rPr>
          <w:sz w:val="24"/>
        </w:rPr>
        <w:t xml:space="preserve">Ferguson, R. (2013). 9.5 Reach-Scale Flow Resistance. In </w:t>
      </w:r>
      <w:r w:rsidRPr="00E435C0">
        <w:rPr>
          <w:i/>
          <w:iCs/>
          <w:sz w:val="24"/>
        </w:rPr>
        <w:t>Treatise on Geomorphology</w:t>
      </w:r>
      <w:r w:rsidRPr="00E435C0">
        <w:rPr>
          <w:sz w:val="24"/>
        </w:rPr>
        <w:t xml:space="preserve"> (pp. 50–68). Elsevier. https://doi.org/10.1016/B978-0-12-374739-6.00230-X</w:t>
      </w:r>
    </w:p>
    <w:p w14:paraId="32DECDCB" w14:textId="77777777" w:rsidR="007358AF" w:rsidRPr="00E435C0" w:rsidRDefault="007358AF" w:rsidP="007358AF">
      <w:pPr>
        <w:pStyle w:val="Bibliography"/>
        <w:rPr>
          <w:sz w:val="24"/>
        </w:rPr>
      </w:pPr>
      <w:r w:rsidRPr="00E435C0">
        <w:rPr>
          <w:sz w:val="24"/>
        </w:rPr>
        <w:t xml:space="preserve">Ferguson, Rob. (2013). 9.5 Reach-Scale Flow Resistance. In </w:t>
      </w:r>
      <w:r w:rsidRPr="00E435C0">
        <w:rPr>
          <w:i/>
          <w:iCs/>
          <w:sz w:val="24"/>
        </w:rPr>
        <w:t>Treatise on Geomorphology</w:t>
      </w:r>
      <w:r w:rsidRPr="00E435C0">
        <w:rPr>
          <w:sz w:val="24"/>
        </w:rPr>
        <w:t xml:space="preserve"> (pp. 50–68). Elsevier. https://doi.org/10.1016/B978-0-12-374739-6.00230-X</w:t>
      </w:r>
    </w:p>
    <w:p w14:paraId="2889B7D8" w14:textId="77777777" w:rsidR="007358AF" w:rsidRPr="00E435C0" w:rsidRDefault="007358AF" w:rsidP="007358AF">
      <w:pPr>
        <w:pStyle w:val="Bibliography"/>
        <w:rPr>
          <w:sz w:val="24"/>
        </w:rPr>
      </w:pPr>
      <w:r w:rsidRPr="00E435C0">
        <w:rPr>
          <w:sz w:val="24"/>
        </w:rPr>
        <w:t xml:space="preserve">Heldmyer, A., Livneh, B., McCreight, J., Read, L., Kasprzyk, J., &amp; Minear, T. (2022). Evaluation of a new observationally based channel parameterization for the National Water Model. </w:t>
      </w:r>
      <w:r w:rsidRPr="00E435C0">
        <w:rPr>
          <w:i/>
          <w:iCs/>
          <w:sz w:val="24"/>
        </w:rPr>
        <w:t>Hydrology and Earth System Sciences</w:t>
      </w:r>
      <w:r w:rsidRPr="00E435C0">
        <w:rPr>
          <w:sz w:val="24"/>
        </w:rPr>
        <w:t xml:space="preserve">, </w:t>
      </w:r>
      <w:r w:rsidRPr="00E435C0">
        <w:rPr>
          <w:i/>
          <w:iCs/>
          <w:sz w:val="24"/>
        </w:rPr>
        <w:t>26</w:t>
      </w:r>
      <w:r w:rsidRPr="00E435C0">
        <w:rPr>
          <w:sz w:val="24"/>
        </w:rPr>
        <w:t>(23), 6121–6136. https://doi.org/10.5194/hess-26-6121-2022</w:t>
      </w:r>
    </w:p>
    <w:p w14:paraId="465E9DCE" w14:textId="77777777" w:rsidR="007358AF" w:rsidRPr="00E435C0" w:rsidRDefault="007358AF" w:rsidP="007358AF">
      <w:pPr>
        <w:pStyle w:val="Bibliography"/>
        <w:rPr>
          <w:sz w:val="24"/>
        </w:rPr>
      </w:pPr>
      <w:r w:rsidRPr="00E435C0">
        <w:rPr>
          <w:sz w:val="24"/>
        </w:rPr>
        <w:t xml:space="preserve">Homer, C. H., Fry, J. A., &amp; Barnes, C. A. (2012). The national land cover database. </w:t>
      </w:r>
      <w:r w:rsidRPr="00E435C0">
        <w:rPr>
          <w:i/>
          <w:iCs/>
          <w:sz w:val="24"/>
        </w:rPr>
        <w:t>US Geological Survey Fact Sheet</w:t>
      </w:r>
      <w:r w:rsidRPr="00E435C0">
        <w:rPr>
          <w:sz w:val="24"/>
        </w:rPr>
        <w:t xml:space="preserve">, </w:t>
      </w:r>
      <w:r w:rsidRPr="00E435C0">
        <w:rPr>
          <w:i/>
          <w:iCs/>
          <w:sz w:val="24"/>
        </w:rPr>
        <w:t>3020</w:t>
      </w:r>
      <w:r w:rsidRPr="00E435C0">
        <w:rPr>
          <w:sz w:val="24"/>
        </w:rPr>
        <w:t>(4), 1–4.</w:t>
      </w:r>
    </w:p>
    <w:p w14:paraId="36D8B47D" w14:textId="77777777" w:rsidR="007358AF" w:rsidRPr="00E435C0" w:rsidRDefault="007358AF" w:rsidP="007358AF">
      <w:pPr>
        <w:pStyle w:val="Bibliography"/>
        <w:rPr>
          <w:sz w:val="24"/>
        </w:rPr>
      </w:pPr>
      <w:r w:rsidRPr="00E435C0">
        <w:rPr>
          <w:sz w:val="24"/>
        </w:rPr>
        <w:lastRenderedPageBreak/>
        <w:t xml:space="preserve">Hunter, N. M., Bates, P. D., Horritt, M. S., &amp; Wilson, M. D. (2007). Simple spatially-distributed models for predicting flood inundation: A review. </w:t>
      </w:r>
      <w:r w:rsidRPr="00E435C0">
        <w:rPr>
          <w:i/>
          <w:iCs/>
          <w:sz w:val="24"/>
        </w:rPr>
        <w:t>Geomorphology</w:t>
      </w:r>
      <w:r w:rsidRPr="00E435C0">
        <w:rPr>
          <w:sz w:val="24"/>
        </w:rPr>
        <w:t xml:space="preserve">, </w:t>
      </w:r>
      <w:r w:rsidRPr="00E435C0">
        <w:rPr>
          <w:i/>
          <w:iCs/>
          <w:sz w:val="24"/>
        </w:rPr>
        <w:t>90</w:t>
      </w:r>
      <w:r w:rsidRPr="00E435C0">
        <w:rPr>
          <w:sz w:val="24"/>
        </w:rPr>
        <w:t>(3), 208–225. https://doi.org/10.1016/j.geomorph.2006.10.021</w:t>
      </w:r>
    </w:p>
    <w:p w14:paraId="3290F248" w14:textId="77777777" w:rsidR="007358AF" w:rsidRPr="00E435C0" w:rsidRDefault="007358AF" w:rsidP="007358AF">
      <w:pPr>
        <w:pStyle w:val="Bibliography"/>
        <w:rPr>
          <w:sz w:val="24"/>
        </w:rPr>
      </w:pPr>
      <w:r w:rsidRPr="00E435C0">
        <w:rPr>
          <w:sz w:val="24"/>
        </w:rPr>
        <w:t xml:space="preserve">Johnson, J. M., Munasinghe, D., Eyelade, D., &amp; Cohen, S. (2019). An integrated evaluation of the National Water Model (NWM)–Height Above Nearest Drainage (HAND) flood mapping methodology. </w:t>
      </w:r>
      <w:r w:rsidRPr="00E435C0">
        <w:rPr>
          <w:i/>
          <w:iCs/>
          <w:sz w:val="24"/>
        </w:rPr>
        <w:t>Natural Hazards and Earth System Sciences</w:t>
      </w:r>
      <w:r w:rsidRPr="00E435C0">
        <w:rPr>
          <w:sz w:val="24"/>
        </w:rPr>
        <w:t xml:space="preserve">, </w:t>
      </w:r>
      <w:r w:rsidRPr="00E435C0">
        <w:rPr>
          <w:i/>
          <w:iCs/>
          <w:sz w:val="24"/>
        </w:rPr>
        <w:t>19</w:t>
      </w:r>
      <w:r w:rsidRPr="00E435C0">
        <w:rPr>
          <w:sz w:val="24"/>
        </w:rPr>
        <w:t>(11), 2405–2420. https://doi.org/10.5194/nhess-19-2405-2019</w:t>
      </w:r>
    </w:p>
    <w:p w14:paraId="7DAB89F2" w14:textId="77777777" w:rsidR="007358AF" w:rsidRPr="00E435C0" w:rsidRDefault="007358AF" w:rsidP="007358AF">
      <w:pPr>
        <w:pStyle w:val="Bibliography"/>
        <w:rPr>
          <w:sz w:val="24"/>
        </w:rPr>
      </w:pPr>
      <w:r w:rsidRPr="00E435C0">
        <w:rPr>
          <w:sz w:val="24"/>
        </w:rPr>
        <w:t xml:space="preserve">Kalyanapu, A., Burian, S., &amp; Mcpherson, T. (2009). Effect of land use-based surface roughness on hydrologic model output. </w:t>
      </w:r>
      <w:r w:rsidRPr="00E435C0">
        <w:rPr>
          <w:i/>
          <w:iCs/>
          <w:sz w:val="24"/>
        </w:rPr>
        <w:t>Journal of Spatial Hydrology</w:t>
      </w:r>
      <w:r w:rsidRPr="00E435C0">
        <w:rPr>
          <w:sz w:val="24"/>
        </w:rPr>
        <w:t xml:space="preserve">, </w:t>
      </w:r>
      <w:r w:rsidRPr="00E435C0">
        <w:rPr>
          <w:i/>
          <w:iCs/>
          <w:sz w:val="24"/>
        </w:rPr>
        <w:t>9</w:t>
      </w:r>
      <w:r w:rsidRPr="00E435C0">
        <w:rPr>
          <w:sz w:val="24"/>
        </w:rPr>
        <w:t>, 51–71.</w:t>
      </w:r>
    </w:p>
    <w:p w14:paraId="38D8084B" w14:textId="77777777" w:rsidR="007358AF" w:rsidRPr="00E435C0" w:rsidRDefault="007358AF" w:rsidP="007358AF">
      <w:pPr>
        <w:pStyle w:val="Bibliography"/>
        <w:rPr>
          <w:sz w:val="24"/>
        </w:rPr>
      </w:pPr>
      <w:r w:rsidRPr="00E435C0">
        <w:rPr>
          <w:sz w:val="24"/>
        </w:rPr>
        <w:t xml:space="preserve">Kiang, J. E., Stewart, D. W., Archfield, S. A., Osborne, E. B., &amp; Eng, K. (2013). </w:t>
      </w:r>
      <w:r w:rsidRPr="00E435C0">
        <w:rPr>
          <w:i/>
          <w:iCs/>
          <w:sz w:val="24"/>
        </w:rPr>
        <w:t>A national streamflow network gap analysis</w:t>
      </w:r>
      <w:r w:rsidRPr="00E435C0">
        <w:rPr>
          <w:sz w:val="24"/>
        </w:rPr>
        <w:t xml:space="preserve"> (USGS Numbered Series No. 2013–5013). </w:t>
      </w:r>
      <w:r w:rsidRPr="00E435C0">
        <w:rPr>
          <w:i/>
          <w:iCs/>
          <w:sz w:val="24"/>
        </w:rPr>
        <w:t>A national streamflow network gap analysis</w:t>
      </w:r>
      <w:r w:rsidRPr="00E435C0">
        <w:rPr>
          <w:sz w:val="24"/>
        </w:rPr>
        <w:t xml:space="preserve"> (Vol. 2013–5013). Reston, VA: U.S. Geological Survey. https://doi.org/10.3133/sir20135013</w:t>
      </w:r>
    </w:p>
    <w:p w14:paraId="52C2F6FE" w14:textId="77777777" w:rsidR="007358AF" w:rsidRPr="00E435C0" w:rsidRDefault="007358AF" w:rsidP="007358AF">
      <w:pPr>
        <w:pStyle w:val="Bibliography"/>
        <w:rPr>
          <w:sz w:val="24"/>
        </w:rPr>
      </w:pPr>
      <w:r w:rsidRPr="00E435C0">
        <w:rPr>
          <w:sz w:val="24"/>
        </w:rPr>
        <w:t xml:space="preserve">Knox, R. L., Morrison, R. R., &amp; Wohl, E. E. (2022). A river ran through it: Floodplains as America’s newest relict landform. </w:t>
      </w:r>
      <w:r w:rsidRPr="00E435C0">
        <w:rPr>
          <w:i/>
          <w:iCs/>
          <w:sz w:val="24"/>
        </w:rPr>
        <w:t>Science Advances</w:t>
      </w:r>
      <w:r w:rsidRPr="00E435C0">
        <w:rPr>
          <w:sz w:val="24"/>
        </w:rPr>
        <w:t xml:space="preserve">, </w:t>
      </w:r>
      <w:r w:rsidRPr="00E435C0">
        <w:rPr>
          <w:i/>
          <w:iCs/>
          <w:sz w:val="24"/>
        </w:rPr>
        <w:t>8</w:t>
      </w:r>
      <w:r w:rsidRPr="00E435C0">
        <w:rPr>
          <w:sz w:val="24"/>
        </w:rPr>
        <w:t>(25), eabo1082. https://doi.org/10.1126/sciadv.abo1082</w:t>
      </w:r>
    </w:p>
    <w:p w14:paraId="1C8A4EA2" w14:textId="77777777" w:rsidR="007358AF" w:rsidRPr="00E435C0" w:rsidRDefault="007358AF" w:rsidP="007358AF">
      <w:pPr>
        <w:pStyle w:val="Bibliography"/>
        <w:rPr>
          <w:sz w:val="24"/>
        </w:rPr>
      </w:pPr>
      <w:r w:rsidRPr="00E435C0">
        <w:rPr>
          <w:sz w:val="24"/>
        </w:rPr>
        <w:t xml:space="preserve">Kouwen, N., &amp; Fathi-Moghadam, M. (2000). Friction Factors for Coniferous Trees along Rivers. </w:t>
      </w:r>
      <w:r w:rsidRPr="00E435C0">
        <w:rPr>
          <w:i/>
          <w:iCs/>
          <w:sz w:val="24"/>
        </w:rPr>
        <w:t>Journal of Hydraulic Engineering</w:t>
      </w:r>
      <w:r w:rsidRPr="00E435C0">
        <w:rPr>
          <w:sz w:val="24"/>
        </w:rPr>
        <w:t xml:space="preserve">, </w:t>
      </w:r>
      <w:r w:rsidRPr="00E435C0">
        <w:rPr>
          <w:i/>
          <w:iCs/>
          <w:sz w:val="24"/>
        </w:rPr>
        <w:t>126</w:t>
      </w:r>
      <w:r w:rsidRPr="00E435C0">
        <w:rPr>
          <w:sz w:val="24"/>
        </w:rPr>
        <w:t>(10), 732–740. https://doi.org/10.1061/(ASCE)0733-9429(2000)126:10(732)</w:t>
      </w:r>
    </w:p>
    <w:p w14:paraId="00F766F6" w14:textId="77777777" w:rsidR="007358AF" w:rsidRPr="00E435C0" w:rsidRDefault="007358AF" w:rsidP="007358AF">
      <w:pPr>
        <w:pStyle w:val="Bibliography"/>
        <w:rPr>
          <w:sz w:val="24"/>
        </w:rPr>
      </w:pPr>
      <w:r w:rsidRPr="00E435C0">
        <w:rPr>
          <w:sz w:val="24"/>
        </w:rPr>
        <w:t xml:space="preserve">Lee, H.-L., &amp; Mays, L. W. (1986). Hydraulic Uncertainties in Flood Levee Capacity. </w:t>
      </w:r>
      <w:r w:rsidRPr="00E435C0">
        <w:rPr>
          <w:i/>
          <w:iCs/>
          <w:sz w:val="24"/>
        </w:rPr>
        <w:t>Journal of Hydraulic Engineering</w:t>
      </w:r>
      <w:r w:rsidRPr="00E435C0">
        <w:rPr>
          <w:sz w:val="24"/>
        </w:rPr>
        <w:t xml:space="preserve">, </w:t>
      </w:r>
      <w:r w:rsidRPr="00E435C0">
        <w:rPr>
          <w:i/>
          <w:iCs/>
          <w:sz w:val="24"/>
        </w:rPr>
        <w:t>112</w:t>
      </w:r>
      <w:r w:rsidRPr="00E435C0">
        <w:rPr>
          <w:sz w:val="24"/>
        </w:rPr>
        <w:t>(10), 928–934. https://doi.org/10.1061/(ASCE)0733-9429(1986)112:10(928)</w:t>
      </w:r>
    </w:p>
    <w:p w14:paraId="2E359122" w14:textId="77777777" w:rsidR="007358AF" w:rsidRPr="00E435C0" w:rsidRDefault="007358AF" w:rsidP="007358AF">
      <w:pPr>
        <w:pStyle w:val="Bibliography"/>
        <w:rPr>
          <w:sz w:val="24"/>
        </w:rPr>
      </w:pPr>
      <w:r w:rsidRPr="00E435C0">
        <w:rPr>
          <w:sz w:val="24"/>
        </w:rPr>
        <w:lastRenderedPageBreak/>
        <w:t xml:space="preserve">Liu, X. (2011). Accuracy Assessment of Lidar Elevation Data Using Survey Marks. </w:t>
      </w:r>
      <w:r w:rsidRPr="00E435C0">
        <w:rPr>
          <w:i/>
          <w:iCs/>
          <w:sz w:val="24"/>
        </w:rPr>
        <w:t>Survey Review</w:t>
      </w:r>
      <w:r w:rsidRPr="00E435C0">
        <w:rPr>
          <w:sz w:val="24"/>
        </w:rPr>
        <w:t xml:space="preserve">, </w:t>
      </w:r>
      <w:r w:rsidRPr="00E435C0">
        <w:rPr>
          <w:i/>
          <w:iCs/>
          <w:sz w:val="24"/>
        </w:rPr>
        <w:t>43</w:t>
      </w:r>
      <w:r w:rsidRPr="00E435C0">
        <w:rPr>
          <w:sz w:val="24"/>
        </w:rPr>
        <w:t>(319), 80–93. https://doi.org/10.1179/003962611X12894696204704</w:t>
      </w:r>
    </w:p>
    <w:p w14:paraId="580D8DCF" w14:textId="77777777" w:rsidR="007358AF" w:rsidRPr="00E435C0" w:rsidRDefault="007358AF" w:rsidP="007358AF">
      <w:pPr>
        <w:pStyle w:val="Bibliography"/>
        <w:rPr>
          <w:sz w:val="24"/>
        </w:rPr>
      </w:pPr>
      <w:r w:rsidRPr="00E435C0">
        <w:rPr>
          <w:sz w:val="24"/>
        </w:rPr>
        <w:t xml:space="preserve">Loveland, T. R., Zhu, Z., Ohlen, D. O., Brown, J. F., Reed, B. C., &amp; Yang, L. (1999). An analysis of the IGBP global land-cover characterization process. </w:t>
      </w:r>
      <w:r w:rsidRPr="00E435C0">
        <w:rPr>
          <w:i/>
          <w:iCs/>
          <w:sz w:val="24"/>
        </w:rPr>
        <w:t>Photogrammetric Engineering and Remote Sensing</w:t>
      </w:r>
      <w:r w:rsidRPr="00E435C0">
        <w:rPr>
          <w:sz w:val="24"/>
        </w:rPr>
        <w:t xml:space="preserve">, </w:t>
      </w:r>
      <w:r w:rsidRPr="00E435C0">
        <w:rPr>
          <w:i/>
          <w:iCs/>
          <w:sz w:val="24"/>
        </w:rPr>
        <w:t>65</w:t>
      </w:r>
      <w:r w:rsidRPr="00E435C0">
        <w:rPr>
          <w:sz w:val="24"/>
        </w:rPr>
        <w:t>, 1021–1032.</w:t>
      </w:r>
    </w:p>
    <w:p w14:paraId="1B0615FB" w14:textId="77777777" w:rsidR="007358AF" w:rsidRPr="00E435C0" w:rsidRDefault="007358AF" w:rsidP="007358AF">
      <w:pPr>
        <w:pStyle w:val="Bibliography"/>
        <w:rPr>
          <w:sz w:val="24"/>
        </w:rPr>
      </w:pPr>
      <w:r w:rsidRPr="00E435C0">
        <w:rPr>
          <w:sz w:val="24"/>
        </w:rPr>
        <w:t>Manning, R. E. (1891). On the flow of water in open channels and pipes.</w:t>
      </w:r>
    </w:p>
    <w:p w14:paraId="5385FCD3" w14:textId="77777777" w:rsidR="007358AF" w:rsidRPr="00E435C0" w:rsidRDefault="007358AF" w:rsidP="007358AF">
      <w:pPr>
        <w:pStyle w:val="Bibliography"/>
        <w:rPr>
          <w:sz w:val="24"/>
        </w:rPr>
      </w:pPr>
      <w:r w:rsidRPr="00E435C0">
        <w:rPr>
          <w:sz w:val="24"/>
        </w:rPr>
        <w:t xml:space="preserve">Milenković, M., Reiche, J., Armston, J., Neuenschwander, A., De Keersmaecker, W., Herold, M., &amp; Verbesselt, J. (2022). Assessing Amazon rainforest regrowth with GEDI and ICESat-2 data. </w:t>
      </w:r>
      <w:r w:rsidRPr="00E435C0">
        <w:rPr>
          <w:i/>
          <w:iCs/>
          <w:sz w:val="24"/>
        </w:rPr>
        <w:t>Science of Remote Sensing</w:t>
      </w:r>
      <w:r w:rsidRPr="00E435C0">
        <w:rPr>
          <w:sz w:val="24"/>
        </w:rPr>
        <w:t xml:space="preserve">, </w:t>
      </w:r>
      <w:r w:rsidRPr="00E435C0">
        <w:rPr>
          <w:i/>
          <w:iCs/>
          <w:sz w:val="24"/>
        </w:rPr>
        <w:t>5</w:t>
      </w:r>
      <w:r w:rsidRPr="00E435C0">
        <w:rPr>
          <w:sz w:val="24"/>
        </w:rPr>
        <w:t>, 100051. https://doi.org/10.1016/j.srs.2022.100051</w:t>
      </w:r>
    </w:p>
    <w:p w14:paraId="5640FECC" w14:textId="77777777" w:rsidR="007358AF" w:rsidRPr="00E435C0" w:rsidRDefault="007358AF" w:rsidP="007358AF">
      <w:pPr>
        <w:pStyle w:val="Bibliography"/>
        <w:rPr>
          <w:sz w:val="24"/>
        </w:rPr>
      </w:pPr>
      <w:r w:rsidRPr="00E435C0">
        <w:rPr>
          <w:sz w:val="24"/>
        </w:rPr>
        <w:t xml:space="preserve">Nepf, H. M. (2012). Flow and Transport in Regions with Aquatic Vegetation. </w:t>
      </w:r>
      <w:r w:rsidRPr="00E435C0">
        <w:rPr>
          <w:i/>
          <w:iCs/>
          <w:sz w:val="24"/>
        </w:rPr>
        <w:t>Annual Review of Fluid Mechanics</w:t>
      </w:r>
      <w:r w:rsidRPr="00E435C0">
        <w:rPr>
          <w:sz w:val="24"/>
        </w:rPr>
        <w:t xml:space="preserve">, </w:t>
      </w:r>
      <w:r w:rsidRPr="00E435C0">
        <w:rPr>
          <w:i/>
          <w:iCs/>
          <w:sz w:val="24"/>
        </w:rPr>
        <w:t>44</w:t>
      </w:r>
      <w:r w:rsidRPr="00E435C0">
        <w:rPr>
          <w:sz w:val="24"/>
        </w:rPr>
        <w:t>(1), 123–142. https://doi.org/10.1146/annurev-fluid-120710-101048</w:t>
      </w:r>
    </w:p>
    <w:p w14:paraId="167BB147" w14:textId="77777777" w:rsidR="007358AF" w:rsidRPr="00E435C0" w:rsidRDefault="007358AF" w:rsidP="007358AF">
      <w:pPr>
        <w:pStyle w:val="Bibliography"/>
        <w:rPr>
          <w:sz w:val="24"/>
        </w:rPr>
      </w:pPr>
      <w:r w:rsidRPr="00E435C0">
        <w:rPr>
          <w:sz w:val="24"/>
        </w:rPr>
        <w:t>NWS. (2021). USGS WaterWatch - Streamflow conditions. Retrieved November 3, 2022, from https://waterwatch.usgs.gov/</w:t>
      </w:r>
    </w:p>
    <w:p w14:paraId="224CAA1E" w14:textId="77777777" w:rsidR="007358AF" w:rsidRPr="00E435C0" w:rsidRDefault="007358AF" w:rsidP="007358AF">
      <w:pPr>
        <w:pStyle w:val="Bibliography"/>
        <w:rPr>
          <w:sz w:val="24"/>
        </w:rPr>
      </w:pPr>
      <w:r w:rsidRPr="00E435C0">
        <w:rPr>
          <w:sz w:val="24"/>
        </w:rPr>
        <w:t>Petryk. (1975). Analysis of flow through vegetation.</w:t>
      </w:r>
    </w:p>
    <w:p w14:paraId="7226F2A6" w14:textId="77777777" w:rsidR="007358AF" w:rsidRPr="00E435C0" w:rsidRDefault="007358AF" w:rsidP="007358AF">
      <w:pPr>
        <w:pStyle w:val="Bibliography"/>
        <w:rPr>
          <w:sz w:val="24"/>
        </w:rPr>
      </w:pPr>
      <w:r w:rsidRPr="00E435C0">
        <w:rPr>
          <w:sz w:val="24"/>
          <w:lang w:val="es-US"/>
        </w:rPr>
        <w:t xml:space="preserve">Potapov, P., Li, X., Hernandez-Serna, A., Tyukavina, A., Hansen, M. C., Kommareddy, A., et al. </w:t>
      </w:r>
      <w:r w:rsidRPr="00E435C0">
        <w:rPr>
          <w:sz w:val="24"/>
        </w:rPr>
        <w:t xml:space="preserve">(2021). Mapping global forest canopy height through integration of GEDI and Landsat data. </w:t>
      </w:r>
      <w:r w:rsidRPr="00E435C0">
        <w:rPr>
          <w:i/>
          <w:iCs/>
          <w:sz w:val="24"/>
        </w:rPr>
        <w:t>Remote Sensing of Environment</w:t>
      </w:r>
      <w:r w:rsidRPr="00E435C0">
        <w:rPr>
          <w:sz w:val="24"/>
        </w:rPr>
        <w:t xml:space="preserve">, </w:t>
      </w:r>
      <w:r w:rsidRPr="00E435C0">
        <w:rPr>
          <w:i/>
          <w:iCs/>
          <w:sz w:val="24"/>
        </w:rPr>
        <w:t>253</w:t>
      </w:r>
      <w:r w:rsidRPr="00E435C0">
        <w:rPr>
          <w:sz w:val="24"/>
        </w:rPr>
        <w:t>, 112165. https://doi.org/10.1016/j.rse.2020.112165</w:t>
      </w:r>
    </w:p>
    <w:p w14:paraId="5B37BB85" w14:textId="77777777" w:rsidR="007358AF" w:rsidRPr="00E435C0" w:rsidRDefault="007358AF" w:rsidP="007358AF">
      <w:pPr>
        <w:pStyle w:val="Bibliography"/>
        <w:rPr>
          <w:sz w:val="24"/>
        </w:rPr>
      </w:pPr>
      <w:r w:rsidRPr="00E435C0">
        <w:rPr>
          <w:sz w:val="24"/>
        </w:rPr>
        <w:t xml:space="preserve">Reclamation, U. S. B. of. (2001). </w:t>
      </w:r>
      <w:r w:rsidRPr="00E435C0">
        <w:rPr>
          <w:i/>
          <w:iCs/>
          <w:sz w:val="24"/>
        </w:rPr>
        <w:t>Water measurement manual</w:t>
      </w:r>
      <w:r w:rsidRPr="00E435C0">
        <w:rPr>
          <w:sz w:val="24"/>
        </w:rPr>
        <w:t>. The Bureau. Retrieved from https://books.google.com/books?hl=es&amp;lr=&amp;id=7PdRAAAAMAAJ&amp;oi=fnd&amp;pg=PA11&amp;dq=water+measurements+manual+usbr&amp;ots=ajRs6q1ds-&amp;sig=atpXC2u8__bFWTy9ndNikoeB7a8</w:t>
      </w:r>
    </w:p>
    <w:p w14:paraId="0421C8D8" w14:textId="77777777" w:rsidR="007358AF" w:rsidRPr="00E435C0" w:rsidRDefault="007358AF" w:rsidP="007358AF">
      <w:pPr>
        <w:pStyle w:val="Bibliography"/>
        <w:rPr>
          <w:sz w:val="24"/>
        </w:rPr>
      </w:pPr>
      <w:r w:rsidRPr="00E435C0">
        <w:rPr>
          <w:sz w:val="24"/>
          <w:lang w:val="es-US"/>
        </w:rPr>
        <w:lastRenderedPageBreak/>
        <w:t xml:space="preserve">Rojas, M., Quintero, F., &amp; Krajewski, W. F. (2020). </w:t>
      </w:r>
      <w:r w:rsidRPr="00E435C0">
        <w:rPr>
          <w:sz w:val="24"/>
        </w:rPr>
        <w:t xml:space="preserve">Performance of the National Water Model in Iowa Using Independent Observations. </w:t>
      </w:r>
      <w:r w:rsidRPr="00E435C0">
        <w:rPr>
          <w:i/>
          <w:iCs/>
          <w:sz w:val="24"/>
        </w:rPr>
        <w:t>JAWRA Journal of the American Water Resources Association</w:t>
      </w:r>
      <w:r w:rsidRPr="00E435C0">
        <w:rPr>
          <w:sz w:val="24"/>
        </w:rPr>
        <w:t xml:space="preserve">, </w:t>
      </w:r>
      <w:r w:rsidRPr="00E435C0">
        <w:rPr>
          <w:i/>
          <w:iCs/>
          <w:sz w:val="24"/>
        </w:rPr>
        <w:t>56</w:t>
      </w:r>
      <w:r w:rsidRPr="00E435C0">
        <w:rPr>
          <w:sz w:val="24"/>
        </w:rPr>
        <w:t>(4), 568–585. https://doi.org/10.1111/1752-1688.12820</w:t>
      </w:r>
    </w:p>
    <w:p w14:paraId="1F22ACAF" w14:textId="77777777" w:rsidR="007358AF" w:rsidRPr="00E435C0" w:rsidRDefault="007358AF" w:rsidP="007358AF">
      <w:pPr>
        <w:pStyle w:val="Bibliography"/>
        <w:rPr>
          <w:sz w:val="24"/>
        </w:rPr>
      </w:pPr>
      <w:r w:rsidRPr="00E435C0">
        <w:rPr>
          <w:sz w:val="24"/>
        </w:rPr>
        <w:t xml:space="preserve">Rouse, H. (1943). Evaluation of Boundary Roughness. </w:t>
      </w:r>
      <w:r w:rsidRPr="00E435C0">
        <w:rPr>
          <w:i/>
          <w:iCs/>
          <w:sz w:val="24"/>
        </w:rPr>
        <w:t>Proceedings Second Hydraulic Conference</w:t>
      </w:r>
      <w:r w:rsidRPr="00E435C0">
        <w:rPr>
          <w:sz w:val="24"/>
        </w:rPr>
        <w:t xml:space="preserve">, </w:t>
      </w:r>
      <w:r w:rsidRPr="00E435C0">
        <w:rPr>
          <w:i/>
          <w:iCs/>
          <w:sz w:val="24"/>
        </w:rPr>
        <w:t>University of Iowa Bulletin 27</w:t>
      </w:r>
      <w:r w:rsidRPr="00E435C0">
        <w:rPr>
          <w:sz w:val="24"/>
        </w:rPr>
        <w:t>.</w:t>
      </w:r>
    </w:p>
    <w:p w14:paraId="1047817B" w14:textId="77777777" w:rsidR="007358AF" w:rsidRPr="00E435C0" w:rsidRDefault="007358AF" w:rsidP="007358AF">
      <w:pPr>
        <w:pStyle w:val="Bibliography"/>
        <w:rPr>
          <w:sz w:val="24"/>
        </w:rPr>
      </w:pPr>
      <w:r w:rsidRPr="00E435C0">
        <w:rPr>
          <w:sz w:val="24"/>
        </w:rPr>
        <w:t xml:space="preserve">Slater, L. J., Singer, M. B., &amp; Kirchner, J. W. (2015). Hydrologic versus geomorphic drivers of trends in flood hazard. </w:t>
      </w:r>
      <w:r w:rsidRPr="00E435C0">
        <w:rPr>
          <w:i/>
          <w:iCs/>
          <w:sz w:val="24"/>
        </w:rPr>
        <w:t>Geophysical Research Letters</w:t>
      </w:r>
      <w:r w:rsidRPr="00E435C0">
        <w:rPr>
          <w:sz w:val="24"/>
        </w:rPr>
        <w:t xml:space="preserve">, </w:t>
      </w:r>
      <w:r w:rsidRPr="00E435C0">
        <w:rPr>
          <w:i/>
          <w:iCs/>
          <w:sz w:val="24"/>
        </w:rPr>
        <w:t>42</w:t>
      </w:r>
      <w:r w:rsidRPr="00E435C0">
        <w:rPr>
          <w:sz w:val="24"/>
        </w:rPr>
        <w:t>(2), 370–376. https://doi.org/10.1002/2014GL062482</w:t>
      </w:r>
    </w:p>
    <w:p w14:paraId="223EFF3D" w14:textId="77777777" w:rsidR="007358AF" w:rsidRPr="00E435C0" w:rsidRDefault="007358AF" w:rsidP="007358AF">
      <w:pPr>
        <w:pStyle w:val="Bibliography"/>
        <w:rPr>
          <w:sz w:val="24"/>
        </w:rPr>
      </w:pPr>
      <w:r w:rsidRPr="00E435C0">
        <w:rPr>
          <w:sz w:val="24"/>
        </w:rPr>
        <w:t>Smith, A. B. (2020). U.S. Billion-dollar Weather and Climate Disasters, 1980 - present (NCEI Accession 0209268) [Data set]. NOAA National Centers for Environmental Information. https://doi.org/10.25921/STKW-7W73</w:t>
      </w:r>
    </w:p>
    <w:p w14:paraId="65D2796F" w14:textId="77777777" w:rsidR="007358AF" w:rsidRPr="00E435C0" w:rsidRDefault="007358AF" w:rsidP="007358AF">
      <w:pPr>
        <w:pStyle w:val="Bibliography"/>
        <w:rPr>
          <w:sz w:val="24"/>
        </w:rPr>
      </w:pPr>
      <w:r w:rsidRPr="00E435C0">
        <w:rPr>
          <w:sz w:val="24"/>
          <w:lang w:val="es-US"/>
        </w:rPr>
        <w:t xml:space="preserve">Tu, T., Comte, L., &amp; Ruhi, A. (2023). </w:t>
      </w:r>
      <w:r w:rsidRPr="00E435C0">
        <w:rPr>
          <w:sz w:val="24"/>
        </w:rPr>
        <w:t xml:space="preserve">The color of environmental noise in river networks. </w:t>
      </w:r>
      <w:r w:rsidRPr="00E435C0">
        <w:rPr>
          <w:i/>
          <w:iCs/>
          <w:sz w:val="24"/>
        </w:rPr>
        <w:t>Nature Communications</w:t>
      </w:r>
      <w:r w:rsidRPr="00E435C0">
        <w:rPr>
          <w:sz w:val="24"/>
        </w:rPr>
        <w:t xml:space="preserve">, </w:t>
      </w:r>
      <w:r w:rsidRPr="00E435C0">
        <w:rPr>
          <w:i/>
          <w:iCs/>
          <w:sz w:val="24"/>
        </w:rPr>
        <w:t>14</w:t>
      </w:r>
      <w:r w:rsidRPr="00E435C0">
        <w:rPr>
          <w:sz w:val="24"/>
        </w:rPr>
        <w:t>(1), 1728. https://doi.org/10.1038/s41467-023-37062-2</w:t>
      </w:r>
    </w:p>
    <w:p w14:paraId="568992F4" w14:textId="77777777" w:rsidR="007358AF" w:rsidRPr="00E435C0" w:rsidRDefault="007358AF" w:rsidP="007358AF">
      <w:pPr>
        <w:pStyle w:val="Bibliography"/>
        <w:rPr>
          <w:sz w:val="24"/>
        </w:rPr>
      </w:pPr>
      <w:r w:rsidRPr="00E435C0">
        <w:rPr>
          <w:sz w:val="24"/>
        </w:rPr>
        <w:t>USGS. (2012). USGS Data Series 668: Manning’s Roughness Coefficients for Illinois Streams. Retrieved September 29, 2022, from https://pubs.usgs.gov/ds/668/pdf/DataSeries_668_2.pdf</w:t>
      </w:r>
    </w:p>
    <w:p w14:paraId="76D78F9A" w14:textId="77777777" w:rsidR="007358AF" w:rsidRPr="00E435C0" w:rsidRDefault="007358AF" w:rsidP="007358AF">
      <w:pPr>
        <w:pStyle w:val="Bibliography"/>
        <w:rPr>
          <w:sz w:val="24"/>
        </w:rPr>
      </w:pPr>
      <w:r w:rsidRPr="00E435C0">
        <w:rPr>
          <w:sz w:val="24"/>
        </w:rPr>
        <w:t>USGS. (2021a). Measurements - Surface Water for USA: Streamflow Measurements. Retrieved August 25, 2022, from https://waterdata.usgs.gov/nwis/measurements</w:t>
      </w:r>
    </w:p>
    <w:p w14:paraId="46ACF58A" w14:textId="77777777" w:rsidR="007358AF" w:rsidRPr="00E435C0" w:rsidRDefault="007358AF" w:rsidP="007358AF">
      <w:pPr>
        <w:pStyle w:val="Bibliography"/>
        <w:rPr>
          <w:sz w:val="24"/>
        </w:rPr>
      </w:pPr>
      <w:r w:rsidRPr="00E435C0">
        <w:rPr>
          <w:sz w:val="24"/>
        </w:rPr>
        <w:t>USGS. (2021b). National Hydrography Dataset | U.S. Geological Survey. Retrieved August 25, 2022, from https://www.usgs.gov/national-hydrography/national-hydrography-dataset</w:t>
      </w:r>
    </w:p>
    <w:p w14:paraId="74548CDE" w14:textId="77777777" w:rsidR="007358AF" w:rsidRPr="00E435C0" w:rsidRDefault="007358AF" w:rsidP="007358AF">
      <w:pPr>
        <w:pStyle w:val="Bibliography"/>
        <w:rPr>
          <w:sz w:val="24"/>
        </w:rPr>
      </w:pPr>
      <w:r w:rsidRPr="00E435C0">
        <w:rPr>
          <w:sz w:val="24"/>
          <w:lang w:val="es-US"/>
        </w:rPr>
        <w:t xml:space="preserve">Vinutha, H. P., Poornima, B., &amp; Sagar, B. M. (2018). </w:t>
      </w:r>
      <w:r w:rsidRPr="00E435C0">
        <w:rPr>
          <w:sz w:val="24"/>
        </w:rPr>
        <w:t xml:space="preserve">Detection of Outliers Using Interquartile Range Technique from Intrusion Dataset. In S. C. Satapathy, J. M. R. S. Tavares, V. </w:t>
      </w:r>
      <w:r w:rsidRPr="00E435C0">
        <w:rPr>
          <w:sz w:val="24"/>
        </w:rPr>
        <w:lastRenderedPageBreak/>
        <w:t xml:space="preserve">Bhateja, &amp; J. R. Mohanty (Eds.), </w:t>
      </w:r>
      <w:r w:rsidRPr="00E435C0">
        <w:rPr>
          <w:i/>
          <w:iCs/>
          <w:sz w:val="24"/>
        </w:rPr>
        <w:t>Information and Decision Sciences</w:t>
      </w:r>
      <w:r w:rsidRPr="00E435C0">
        <w:rPr>
          <w:sz w:val="24"/>
        </w:rPr>
        <w:t xml:space="preserve"> (pp. 511–518). Singapore: Springer. https://doi.org/10.1007/978-981-10-7563-6_53</w:t>
      </w:r>
    </w:p>
    <w:p w14:paraId="6AAD0367" w14:textId="77777777" w:rsidR="007358AF" w:rsidRPr="00E435C0" w:rsidRDefault="007358AF" w:rsidP="007358AF">
      <w:pPr>
        <w:pStyle w:val="Bibliography"/>
        <w:rPr>
          <w:sz w:val="24"/>
        </w:rPr>
      </w:pPr>
      <w:r w:rsidRPr="00E435C0">
        <w:rPr>
          <w:sz w:val="24"/>
        </w:rPr>
        <w:t xml:space="preserve">Yen, B. C. (1992). </w:t>
      </w:r>
      <w:r w:rsidRPr="00E435C0">
        <w:rPr>
          <w:i/>
          <w:iCs/>
          <w:sz w:val="24"/>
        </w:rPr>
        <w:t>Channel Flow Resistance: Centennial of Manning’s Formula</w:t>
      </w:r>
      <w:r w:rsidRPr="00E435C0">
        <w:rPr>
          <w:sz w:val="24"/>
        </w:rPr>
        <w:t>. Water Resources Publication.</w:t>
      </w:r>
    </w:p>
    <w:p w14:paraId="0A686FD8" w14:textId="77777777" w:rsidR="007358AF" w:rsidRPr="00E435C0" w:rsidRDefault="007358AF" w:rsidP="007358AF">
      <w:pPr>
        <w:pStyle w:val="Bibliography"/>
        <w:rPr>
          <w:sz w:val="24"/>
        </w:rPr>
      </w:pPr>
      <w:r w:rsidRPr="00E435C0">
        <w:rPr>
          <w:sz w:val="24"/>
        </w:rPr>
        <w:t xml:space="preserve">Yen, B. C. (2002). Open Channel Flow Resistance. </w:t>
      </w:r>
      <w:r w:rsidRPr="00E435C0">
        <w:rPr>
          <w:i/>
          <w:iCs/>
          <w:sz w:val="24"/>
        </w:rPr>
        <w:t>Journal of Hydraulic Engineering</w:t>
      </w:r>
      <w:r w:rsidRPr="00E435C0">
        <w:rPr>
          <w:sz w:val="24"/>
        </w:rPr>
        <w:t xml:space="preserve">, </w:t>
      </w:r>
      <w:r w:rsidRPr="00E435C0">
        <w:rPr>
          <w:i/>
          <w:iCs/>
          <w:sz w:val="24"/>
        </w:rPr>
        <w:t>128</w:t>
      </w:r>
      <w:r w:rsidRPr="00E435C0">
        <w:rPr>
          <w:sz w:val="24"/>
        </w:rPr>
        <w:t>(1), 20–39. https://doi.org/10.1061/(ASCE)0733-9429(2002)128:1(20)</w:t>
      </w:r>
    </w:p>
    <w:p w14:paraId="2B7C9A8E" w14:textId="454CE3F4" w:rsidR="00BF0028" w:rsidRDefault="0056596D" w:rsidP="0042413B">
      <w:pPr>
        <w:pStyle w:val="Abstract"/>
        <w:spacing w:line="480" w:lineRule="auto"/>
      </w:pPr>
      <w:r w:rsidRPr="00E435C0">
        <w:fldChar w:fldCharType="end"/>
      </w:r>
    </w:p>
    <w:sectPr w:rsidR="00BF0028" w:rsidSect="00BD47BB">
      <w:headerReference w:type="default" r:id="rId12"/>
      <w:footerReference w:type="default" r:id="rId13"/>
      <w:headerReference w:type="first" r:id="rId14"/>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5259D" w14:textId="77777777" w:rsidR="0092183B" w:rsidRDefault="0092183B" w:rsidP="000379AB">
      <w:r>
        <w:separator/>
      </w:r>
    </w:p>
  </w:endnote>
  <w:endnote w:type="continuationSeparator" w:id="0">
    <w:p w14:paraId="55DB2CF4" w14:textId="77777777" w:rsidR="0092183B" w:rsidRDefault="0092183B" w:rsidP="000379AB">
      <w:r>
        <w:continuationSeparator/>
      </w:r>
    </w:p>
  </w:endnote>
  <w:endnote w:type="continuationNotice" w:id="1">
    <w:p w14:paraId="5EFE673E" w14:textId="77777777" w:rsidR="0092183B" w:rsidRDefault="009218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844116" w:rsidRDefault="00844116"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2B400B" w14:textId="77777777" w:rsidR="0092183B" w:rsidRDefault="0092183B" w:rsidP="000379AB">
      <w:r>
        <w:separator/>
      </w:r>
    </w:p>
  </w:footnote>
  <w:footnote w:type="continuationSeparator" w:id="0">
    <w:p w14:paraId="5A7B34B6" w14:textId="77777777" w:rsidR="0092183B" w:rsidRDefault="0092183B" w:rsidP="000379AB">
      <w:r>
        <w:continuationSeparator/>
      </w:r>
    </w:p>
  </w:footnote>
  <w:footnote w:type="continuationNotice" w:id="1">
    <w:p w14:paraId="3C0E0231" w14:textId="77777777" w:rsidR="0092183B" w:rsidRDefault="009218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5B6DC905" w:rsidR="00844116" w:rsidRDefault="00844116" w:rsidP="007778ED">
    <w:pPr>
      <w:pStyle w:val="Header"/>
      <w:jc w:val="center"/>
    </w:pPr>
    <w:r>
      <w:t xml:space="preserve">manuscript submitted to </w:t>
    </w:r>
    <w:r>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844116" w:rsidRDefault="00844116" w:rsidP="00E31404">
    <w:pPr>
      <w:pStyle w:val="Header"/>
      <w:jc w:val="center"/>
    </w:pPr>
    <w:r>
      <w:t xml:space="preserve">Confidential manuscript submitted to </w:t>
    </w:r>
    <w:r>
      <w:rPr>
        <w:i/>
      </w:rPr>
      <w:t xml:space="preserve">replace this text with name of </w:t>
    </w:r>
    <w:r w:rsidRPr="007778ED">
      <w:rPr>
        <w:i/>
      </w:rPr>
      <w:t xml:space="preserve">AGU </w:t>
    </w:r>
    <w:proofErr w:type="gramStart"/>
    <w:r w:rsidRPr="007778ED">
      <w:rPr>
        <w:i/>
      </w:rPr>
      <w:t>journal</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F9A7A92"/>
    <w:multiLevelType w:val="hybridMultilevel"/>
    <w:tmpl w:val="0F3E1CE4"/>
    <w:lvl w:ilvl="0" w:tplc="BAFE416C">
      <w:start w:val="1"/>
      <w:numFmt w:val="decimal"/>
      <w:lvlText w:val="%1."/>
      <w:lvlJc w:val="left"/>
      <w:pPr>
        <w:ind w:left="1440" w:hanging="360"/>
      </w:pPr>
    </w:lvl>
    <w:lvl w:ilvl="1" w:tplc="47DE7124">
      <w:start w:val="1"/>
      <w:numFmt w:val="decimal"/>
      <w:lvlText w:val="%2."/>
      <w:lvlJc w:val="left"/>
      <w:pPr>
        <w:ind w:left="1440" w:hanging="360"/>
      </w:pPr>
    </w:lvl>
    <w:lvl w:ilvl="2" w:tplc="00AAD1F2">
      <w:start w:val="1"/>
      <w:numFmt w:val="decimal"/>
      <w:lvlText w:val="%3."/>
      <w:lvlJc w:val="left"/>
      <w:pPr>
        <w:ind w:left="1440" w:hanging="360"/>
      </w:pPr>
    </w:lvl>
    <w:lvl w:ilvl="3" w:tplc="A8125AA4">
      <w:start w:val="1"/>
      <w:numFmt w:val="decimal"/>
      <w:lvlText w:val="%4."/>
      <w:lvlJc w:val="left"/>
      <w:pPr>
        <w:ind w:left="1440" w:hanging="360"/>
      </w:pPr>
    </w:lvl>
    <w:lvl w:ilvl="4" w:tplc="DF22C9FA">
      <w:start w:val="1"/>
      <w:numFmt w:val="decimal"/>
      <w:lvlText w:val="%5."/>
      <w:lvlJc w:val="left"/>
      <w:pPr>
        <w:ind w:left="1440" w:hanging="360"/>
      </w:pPr>
    </w:lvl>
    <w:lvl w:ilvl="5" w:tplc="06C8AB58">
      <w:start w:val="1"/>
      <w:numFmt w:val="decimal"/>
      <w:lvlText w:val="%6."/>
      <w:lvlJc w:val="left"/>
      <w:pPr>
        <w:ind w:left="1440" w:hanging="360"/>
      </w:pPr>
    </w:lvl>
    <w:lvl w:ilvl="6" w:tplc="C508812E">
      <w:start w:val="1"/>
      <w:numFmt w:val="decimal"/>
      <w:lvlText w:val="%7."/>
      <w:lvlJc w:val="left"/>
      <w:pPr>
        <w:ind w:left="1440" w:hanging="360"/>
      </w:pPr>
    </w:lvl>
    <w:lvl w:ilvl="7" w:tplc="5F40AF78">
      <w:start w:val="1"/>
      <w:numFmt w:val="decimal"/>
      <w:lvlText w:val="%8."/>
      <w:lvlJc w:val="left"/>
      <w:pPr>
        <w:ind w:left="1440" w:hanging="360"/>
      </w:pPr>
    </w:lvl>
    <w:lvl w:ilvl="8" w:tplc="3B3A95B8">
      <w:start w:val="1"/>
      <w:numFmt w:val="decimal"/>
      <w:lvlText w:val="%9."/>
      <w:lvlJc w:val="left"/>
      <w:pPr>
        <w:ind w:left="1440" w:hanging="36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73317C62"/>
    <w:multiLevelType w:val="hybridMultilevel"/>
    <w:tmpl w:val="088E982E"/>
    <w:lvl w:ilvl="0" w:tplc="540A0001">
      <w:start w:val="1"/>
      <w:numFmt w:val="bullet"/>
      <w:lvlText w:val=""/>
      <w:lvlJc w:val="left"/>
      <w:pPr>
        <w:ind w:left="1080" w:hanging="360"/>
      </w:pPr>
      <w:rPr>
        <w:rFonts w:ascii="Symbol" w:hAnsi="Symbol" w:hint="default"/>
      </w:rPr>
    </w:lvl>
    <w:lvl w:ilvl="1" w:tplc="540A0003" w:tentative="1">
      <w:start w:val="1"/>
      <w:numFmt w:val="bullet"/>
      <w:lvlText w:val="o"/>
      <w:lvlJc w:val="left"/>
      <w:pPr>
        <w:ind w:left="1800" w:hanging="360"/>
      </w:pPr>
      <w:rPr>
        <w:rFonts w:ascii="Courier New" w:hAnsi="Courier New" w:cs="Courier New" w:hint="default"/>
      </w:rPr>
    </w:lvl>
    <w:lvl w:ilvl="2" w:tplc="540A0005" w:tentative="1">
      <w:start w:val="1"/>
      <w:numFmt w:val="bullet"/>
      <w:lvlText w:val=""/>
      <w:lvlJc w:val="left"/>
      <w:pPr>
        <w:ind w:left="2520" w:hanging="360"/>
      </w:pPr>
      <w:rPr>
        <w:rFonts w:ascii="Wingdings" w:hAnsi="Wingdings" w:hint="default"/>
      </w:rPr>
    </w:lvl>
    <w:lvl w:ilvl="3" w:tplc="540A0001" w:tentative="1">
      <w:start w:val="1"/>
      <w:numFmt w:val="bullet"/>
      <w:lvlText w:val=""/>
      <w:lvlJc w:val="left"/>
      <w:pPr>
        <w:ind w:left="3240" w:hanging="360"/>
      </w:pPr>
      <w:rPr>
        <w:rFonts w:ascii="Symbol" w:hAnsi="Symbol" w:hint="default"/>
      </w:rPr>
    </w:lvl>
    <w:lvl w:ilvl="4" w:tplc="540A0003" w:tentative="1">
      <w:start w:val="1"/>
      <w:numFmt w:val="bullet"/>
      <w:lvlText w:val="o"/>
      <w:lvlJc w:val="left"/>
      <w:pPr>
        <w:ind w:left="3960" w:hanging="360"/>
      </w:pPr>
      <w:rPr>
        <w:rFonts w:ascii="Courier New" w:hAnsi="Courier New" w:cs="Courier New" w:hint="default"/>
      </w:rPr>
    </w:lvl>
    <w:lvl w:ilvl="5" w:tplc="540A0005" w:tentative="1">
      <w:start w:val="1"/>
      <w:numFmt w:val="bullet"/>
      <w:lvlText w:val=""/>
      <w:lvlJc w:val="left"/>
      <w:pPr>
        <w:ind w:left="4680" w:hanging="360"/>
      </w:pPr>
      <w:rPr>
        <w:rFonts w:ascii="Wingdings" w:hAnsi="Wingdings" w:hint="default"/>
      </w:rPr>
    </w:lvl>
    <w:lvl w:ilvl="6" w:tplc="540A0001" w:tentative="1">
      <w:start w:val="1"/>
      <w:numFmt w:val="bullet"/>
      <w:lvlText w:val=""/>
      <w:lvlJc w:val="left"/>
      <w:pPr>
        <w:ind w:left="5400" w:hanging="360"/>
      </w:pPr>
      <w:rPr>
        <w:rFonts w:ascii="Symbol" w:hAnsi="Symbol" w:hint="default"/>
      </w:rPr>
    </w:lvl>
    <w:lvl w:ilvl="7" w:tplc="540A0003" w:tentative="1">
      <w:start w:val="1"/>
      <w:numFmt w:val="bullet"/>
      <w:lvlText w:val="o"/>
      <w:lvlJc w:val="left"/>
      <w:pPr>
        <w:ind w:left="6120" w:hanging="360"/>
      </w:pPr>
      <w:rPr>
        <w:rFonts w:ascii="Courier New" w:hAnsi="Courier New" w:cs="Courier New" w:hint="default"/>
      </w:rPr>
    </w:lvl>
    <w:lvl w:ilvl="8" w:tplc="540A0005" w:tentative="1">
      <w:start w:val="1"/>
      <w:numFmt w:val="bullet"/>
      <w:lvlText w:val=""/>
      <w:lvlJc w:val="left"/>
      <w:pPr>
        <w:ind w:left="6840" w:hanging="360"/>
      </w:pPr>
      <w:rPr>
        <w:rFonts w:ascii="Wingdings" w:hAnsi="Wingdings" w:hint="default"/>
      </w:rPr>
    </w:lvl>
  </w:abstractNum>
  <w:abstractNum w:abstractNumId="14" w15:restartNumberingAfterBreak="0">
    <w:nsid w:val="7A4E4663"/>
    <w:multiLevelType w:val="hybridMultilevel"/>
    <w:tmpl w:val="AEB263D2"/>
    <w:lvl w:ilvl="0" w:tplc="13DE86F8">
      <w:start w:val="1"/>
      <w:numFmt w:val="bullet"/>
      <w:lvlText w:val=""/>
      <w:lvlJc w:val="left"/>
      <w:pPr>
        <w:ind w:left="720" w:hanging="360"/>
      </w:pPr>
      <w:rPr>
        <w:rFonts w:ascii="Symbol" w:hAnsi="Symbol" w:hint="default"/>
      </w:rPr>
    </w:lvl>
    <w:lvl w:ilvl="1" w:tplc="540A0003">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15"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00411227">
    <w:abstractNumId w:val="2"/>
  </w:num>
  <w:num w:numId="2" w16cid:durableId="2055083967">
    <w:abstractNumId w:val="1"/>
  </w:num>
  <w:num w:numId="3" w16cid:durableId="2102989965">
    <w:abstractNumId w:val="12"/>
  </w:num>
  <w:num w:numId="4" w16cid:durableId="493254345">
    <w:abstractNumId w:val="5"/>
  </w:num>
  <w:num w:numId="5" w16cid:durableId="275648039">
    <w:abstractNumId w:val="6"/>
  </w:num>
  <w:num w:numId="6" w16cid:durableId="1553535558">
    <w:abstractNumId w:val="9"/>
  </w:num>
  <w:num w:numId="7" w16cid:durableId="1040086865">
    <w:abstractNumId w:val="10"/>
  </w:num>
  <w:num w:numId="8" w16cid:durableId="310905969">
    <w:abstractNumId w:val="11"/>
  </w:num>
  <w:num w:numId="9" w16cid:durableId="1422990882">
    <w:abstractNumId w:val="3"/>
  </w:num>
  <w:num w:numId="10" w16cid:durableId="836649754">
    <w:abstractNumId w:val="8"/>
  </w:num>
  <w:num w:numId="11" w16cid:durableId="968827795">
    <w:abstractNumId w:val="4"/>
  </w:num>
  <w:num w:numId="12" w16cid:durableId="105389909">
    <w:abstractNumId w:val="15"/>
  </w:num>
  <w:num w:numId="13" w16cid:durableId="1077365961">
    <w:abstractNumId w:val="0"/>
  </w:num>
  <w:num w:numId="14" w16cid:durableId="1819765109">
    <w:abstractNumId w:val="14"/>
  </w:num>
  <w:num w:numId="15" w16cid:durableId="1747070899">
    <w:abstractNumId w:val="13"/>
  </w:num>
  <w:num w:numId="16" w16cid:durableId="131205797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1C2B"/>
    <w:rsid w:val="000023D9"/>
    <w:rsid w:val="00002C9A"/>
    <w:rsid w:val="00007016"/>
    <w:rsid w:val="00010240"/>
    <w:rsid w:val="00011A2B"/>
    <w:rsid w:val="000120C1"/>
    <w:rsid w:val="00024ECC"/>
    <w:rsid w:val="000262D4"/>
    <w:rsid w:val="00030423"/>
    <w:rsid w:val="00030786"/>
    <w:rsid w:val="00031829"/>
    <w:rsid w:val="00031C4F"/>
    <w:rsid w:val="00032A76"/>
    <w:rsid w:val="000330E9"/>
    <w:rsid w:val="00033717"/>
    <w:rsid w:val="00035A8A"/>
    <w:rsid w:val="00036384"/>
    <w:rsid w:val="000379AB"/>
    <w:rsid w:val="00041E4C"/>
    <w:rsid w:val="000424CC"/>
    <w:rsid w:val="00043369"/>
    <w:rsid w:val="000448B5"/>
    <w:rsid w:val="0004530B"/>
    <w:rsid w:val="00053995"/>
    <w:rsid w:val="0005652E"/>
    <w:rsid w:val="00056B38"/>
    <w:rsid w:val="000605AF"/>
    <w:rsid w:val="0006112B"/>
    <w:rsid w:val="000611BA"/>
    <w:rsid w:val="00063C39"/>
    <w:rsid w:val="00064F54"/>
    <w:rsid w:val="00066EBF"/>
    <w:rsid w:val="00072183"/>
    <w:rsid w:val="0007414F"/>
    <w:rsid w:val="0008047A"/>
    <w:rsid w:val="00080D73"/>
    <w:rsid w:val="00086BCA"/>
    <w:rsid w:val="00087489"/>
    <w:rsid w:val="000877B4"/>
    <w:rsid w:val="00090484"/>
    <w:rsid w:val="00090D34"/>
    <w:rsid w:val="00091C06"/>
    <w:rsid w:val="00092310"/>
    <w:rsid w:val="00092E22"/>
    <w:rsid w:val="00094C03"/>
    <w:rsid w:val="00094EBE"/>
    <w:rsid w:val="000A04F7"/>
    <w:rsid w:val="000A0D93"/>
    <w:rsid w:val="000A1DBB"/>
    <w:rsid w:val="000A68E6"/>
    <w:rsid w:val="000B0874"/>
    <w:rsid w:val="000B16FA"/>
    <w:rsid w:val="000B1830"/>
    <w:rsid w:val="000B1861"/>
    <w:rsid w:val="000B1B33"/>
    <w:rsid w:val="000B2D22"/>
    <w:rsid w:val="000B5DD2"/>
    <w:rsid w:val="000B7060"/>
    <w:rsid w:val="000C62B6"/>
    <w:rsid w:val="000D29DD"/>
    <w:rsid w:val="000D32A0"/>
    <w:rsid w:val="000D4412"/>
    <w:rsid w:val="000D48B1"/>
    <w:rsid w:val="000D6640"/>
    <w:rsid w:val="000D762F"/>
    <w:rsid w:val="000E0819"/>
    <w:rsid w:val="000E3E29"/>
    <w:rsid w:val="000E42C1"/>
    <w:rsid w:val="000E46AD"/>
    <w:rsid w:val="000F1330"/>
    <w:rsid w:val="000F3B58"/>
    <w:rsid w:val="000F4A6B"/>
    <w:rsid w:val="0010055D"/>
    <w:rsid w:val="00101C87"/>
    <w:rsid w:val="0010699B"/>
    <w:rsid w:val="0010739F"/>
    <w:rsid w:val="00107660"/>
    <w:rsid w:val="001128AB"/>
    <w:rsid w:val="0012364A"/>
    <w:rsid w:val="00123EF1"/>
    <w:rsid w:val="001245E8"/>
    <w:rsid w:val="001262A8"/>
    <w:rsid w:val="0012719E"/>
    <w:rsid w:val="00127A94"/>
    <w:rsid w:val="00130C66"/>
    <w:rsid w:val="001340AE"/>
    <w:rsid w:val="00134BB3"/>
    <w:rsid w:val="00135506"/>
    <w:rsid w:val="001420A0"/>
    <w:rsid w:val="00142B22"/>
    <w:rsid w:val="00142CFB"/>
    <w:rsid w:val="0014311A"/>
    <w:rsid w:val="001469DB"/>
    <w:rsid w:val="00147079"/>
    <w:rsid w:val="0015259F"/>
    <w:rsid w:val="00152C3B"/>
    <w:rsid w:val="00153487"/>
    <w:rsid w:val="00153648"/>
    <w:rsid w:val="001542E3"/>
    <w:rsid w:val="00154411"/>
    <w:rsid w:val="00154475"/>
    <w:rsid w:val="00155255"/>
    <w:rsid w:val="00155B0C"/>
    <w:rsid w:val="00160482"/>
    <w:rsid w:val="00161253"/>
    <w:rsid w:val="00163F3E"/>
    <w:rsid w:val="00164F08"/>
    <w:rsid w:val="001702E6"/>
    <w:rsid w:val="00170B97"/>
    <w:rsid w:val="00172FA1"/>
    <w:rsid w:val="001732B3"/>
    <w:rsid w:val="00173F60"/>
    <w:rsid w:val="001765C7"/>
    <w:rsid w:val="00180147"/>
    <w:rsid w:val="00180F99"/>
    <w:rsid w:val="0018124B"/>
    <w:rsid w:val="001841D5"/>
    <w:rsid w:val="00185C75"/>
    <w:rsid w:val="0018755B"/>
    <w:rsid w:val="00190511"/>
    <w:rsid w:val="00190BF8"/>
    <w:rsid w:val="0019568E"/>
    <w:rsid w:val="00196681"/>
    <w:rsid w:val="001A1AED"/>
    <w:rsid w:val="001A1CD5"/>
    <w:rsid w:val="001A2591"/>
    <w:rsid w:val="001A65D9"/>
    <w:rsid w:val="001C033D"/>
    <w:rsid w:val="001C1F1E"/>
    <w:rsid w:val="001C263C"/>
    <w:rsid w:val="001C2B0D"/>
    <w:rsid w:val="001C49CB"/>
    <w:rsid w:val="001C74EF"/>
    <w:rsid w:val="001C79D9"/>
    <w:rsid w:val="001D01CE"/>
    <w:rsid w:val="001D3195"/>
    <w:rsid w:val="001D35B3"/>
    <w:rsid w:val="001D3620"/>
    <w:rsid w:val="001D61DC"/>
    <w:rsid w:val="001D65B6"/>
    <w:rsid w:val="001D6B3E"/>
    <w:rsid w:val="001E0803"/>
    <w:rsid w:val="001E15C2"/>
    <w:rsid w:val="001E233F"/>
    <w:rsid w:val="001E2870"/>
    <w:rsid w:val="001E3042"/>
    <w:rsid w:val="001E33EF"/>
    <w:rsid w:val="001E4342"/>
    <w:rsid w:val="001E56EA"/>
    <w:rsid w:val="001F1092"/>
    <w:rsid w:val="001F10DD"/>
    <w:rsid w:val="001F1133"/>
    <w:rsid w:val="001F4197"/>
    <w:rsid w:val="001F4CDF"/>
    <w:rsid w:val="001F6980"/>
    <w:rsid w:val="001F7140"/>
    <w:rsid w:val="00200B8B"/>
    <w:rsid w:val="002017CB"/>
    <w:rsid w:val="00205265"/>
    <w:rsid w:val="002112B8"/>
    <w:rsid w:val="00212F6A"/>
    <w:rsid w:val="0021605C"/>
    <w:rsid w:val="00216232"/>
    <w:rsid w:val="00220B47"/>
    <w:rsid w:val="0022311B"/>
    <w:rsid w:val="002238B3"/>
    <w:rsid w:val="002303A0"/>
    <w:rsid w:val="00232D4B"/>
    <w:rsid w:val="00233289"/>
    <w:rsid w:val="002345D0"/>
    <w:rsid w:val="0023525D"/>
    <w:rsid w:val="002365A9"/>
    <w:rsid w:val="0023709D"/>
    <w:rsid w:val="00240493"/>
    <w:rsid w:val="0024187C"/>
    <w:rsid w:val="00242B86"/>
    <w:rsid w:val="0024395C"/>
    <w:rsid w:val="00244530"/>
    <w:rsid w:val="00244C15"/>
    <w:rsid w:val="00244CDF"/>
    <w:rsid w:val="00247B21"/>
    <w:rsid w:val="0025046B"/>
    <w:rsid w:val="00251CB4"/>
    <w:rsid w:val="00251EFD"/>
    <w:rsid w:val="002605B0"/>
    <w:rsid w:val="00260E0E"/>
    <w:rsid w:val="00260F92"/>
    <w:rsid w:val="0026179C"/>
    <w:rsid w:val="00264332"/>
    <w:rsid w:val="002643E8"/>
    <w:rsid w:val="00265370"/>
    <w:rsid w:val="00265690"/>
    <w:rsid w:val="00266383"/>
    <w:rsid w:val="00267683"/>
    <w:rsid w:val="00270EED"/>
    <w:rsid w:val="00271C3D"/>
    <w:rsid w:val="00272689"/>
    <w:rsid w:val="0027275F"/>
    <w:rsid w:val="00272E97"/>
    <w:rsid w:val="00273654"/>
    <w:rsid w:val="00277418"/>
    <w:rsid w:val="00281405"/>
    <w:rsid w:val="00282334"/>
    <w:rsid w:val="002844EB"/>
    <w:rsid w:val="00287466"/>
    <w:rsid w:val="002904F5"/>
    <w:rsid w:val="0029366D"/>
    <w:rsid w:val="002A0F7D"/>
    <w:rsid w:val="002A5079"/>
    <w:rsid w:val="002A563D"/>
    <w:rsid w:val="002A59C7"/>
    <w:rsid w:val="002A5F00"/>
    <w:rsid w:val="002A6A17"/>
    <w:rsid w:val="002B0378"/>
    <w:rsid w:val="002B037B"/>
    <w:rsid w:val="002B1E39"/>
    <w:rsid w:val="002B34EC"/>
    <w:rsid w:val="002B3739"/>
    <w:rsid w:val="002B3905"/>
    <w:rsid w:val="002B4107"/>
    <w:rsid w:val="002B6F74"/>
    <w:rsid w:val="002B73D0"/>
    <w:rsid w:val="002B78E0"/>
    <w:rsid w:val="002C131E"/>
    <w:rsid w:val="002C15DE"/>
    <w:rsid w:val="002C3181"/>
    <w:rsid w:val="002C3263"/>
    <w:rsid w:val="002C411E"/>
    <w:rsid w:val="002C576D"/>
    <w:rsid w:val="002C7859"/>
    <w:rsid w:val="002D0502"/>
    <w:rsid w:val="002D14DF"/>
    <w:rsid w:val="002D3840"/>
    <w:rsid w:val="002D3F1E"/>
    <w:rsid w:val="002E1904"/>
    <w:rsid w:val="002E2E52"/>
    <w:rsid w:val="002E3C3F"/>
    <w:rsid w:val="002E44E9"/>
    <w:rsid w:val="002E5097"/>
    <w:rsid w:val="002E61E1"/>
    <w:rsid w:val="002E6817"/>
    <w:rsid w:val="002E6B87"/>
    <w:rsid w:val="002E7898"/>
    <w:rsid w:val="002F0B65"/>
    <w:rsid w:val="002F15AF"/>
    <w:rsid w:val="002F1EBB"/>
    <w:rsid w:val="002F2289"/>
    <w:rsid w:val="002F22B6"/>
    <w:rsid w:val="002F25B3"/>
    <w:rsid w:val="002F3B11"/>
    <w:rsid w:val="002F407A"/>
    <w:rsid w:val="002F5B3C"/>
    <w:rsid w:val="002F66DF"/>
    <w:rsid w:val="002F6A60"/>
    <w:rsid w:val="002F7539"/>
    <w:rsid w:val="00301950"/>
    <w:rsid w:val="00301C3B"/>
    <w:rsid w:val="00302359"/>
    <w:rsid w:val="003031D3"/>
    <w:rsid w:val="00304B3B"/>
    <w:rsid w:val="00304C6D"/>
    <w:rsid w:val="003137C3"/>
    <w:rsid w:val="00315266"/>
    <w:rsid w:val="00317EFB"/>
    <w:rsid w:val="00320717"/>
    <w:rsid w:val="00321596"/>
    <w:rsid w:val="0032257B"/>
    <w:rsid w:val="003262B1"/>
    <w:rsid w:val="00326A8F"/>
    <w:rsid w:val="00327A45"/>
    <w:rsid w:val="00333122"/>
    <w:rsid w:val="00340E27"/>
    <w:rsid w:val="00343554"/>
    <w:rsid w:val="00343C92"/>
    <w:rsid w:val="00344483"/>
    <w:rsid w:val="0034597C"/>
    <w:rsid w:val="00351850"/>
    <w:rsid w:val="003519E8"/>
    <w:rsid w:val="00353065"/>
    <w:rsid w:val="00353E58"/>
    <w:rsid w:val="00353F6F"/>
    <w:rsid w:val="00356E4E"/>
    <w:rsid w:val="00356FFB"/>
    <w:rsid w:val="00360F69"/>
    <w:rsid w:val="00361190"/>
    <w:rsid w:val="003623AD"/>
    <w:rsid w:val="00363513"/>
    <w:rsid w:val="003643DD"/>
    <w:rsid w:val="00366917"/>
    <w:rsid w:val="00366CF4"/>
    <w:rsid w:val="00367733"/>
    <w:rsid w:val="003677FB"/>
    <w:rsid w:val="00372612"/>
    <w:rsid w:val="00372D33"/>
    <w:rsid w:val="003739D3"/>
    <w:rsid w:val="00373EEA"/>
    <w:rsid w:val="0037466A"/>
    <w:rsid w:val="0038178A"/>
    <w:rsid w:val="00381901"/>
    <w:rsid w:val="00383B6F"/>
    <w:rsid w:val="003846E2"/>
    <w:rsid w:val="00384D84"/>
    <w:rsid w:val="00387716"/>
    <w:rsid w:val="00390536"/>
    <w:rsid w:val="003914F0"/>
    <w:rsid w:val="003926BF"/>
    <w:rsid w:val="00393269"/>
    <w:rsid w:val="00393A83"/>
    <w:rsid w:val="00394686"/>
    <w:rsid w:val="00395E95"/>
    <w:rsid w:val="00396F43"/>
    <w:rsid w:val="00397BDC"/>
    <w:rsid w:val="003A486F"/>
    <w:rsid w:val="003A54DA"/>
    <w:rsid w:val="003B182D"/>
    <w:rsid w:val="003B1D49"/>
    <w:rsid w:val="003B2F81"/>
    <w:rsid w:val="003B3187"/>
    <w:rsid w:val="003B6720"/>
    <w:rsid w:val="003B6D22"/>
    <w:rsid w:val="003B7099"/>
    <w:rsid w:val="003C55DC"/>
    <w:rsid w:val="003C5799"/>
    <w:rsid w:val="003C60DB"/>
    <w:rsid w:val="003D25B9"/>
    <w:rsid w:val="003D33FB"/>
    <w:rsid w:val="003D4779"/>
    <w:rsid w:val="003D6E78"/>
    <w:rsid w:val="003E433F"/>
    <w:rsid w:val="003E46A3"/>
    <w:rsid w:val="003E4984"/>
    <w:rsid w:val="003E4CF4"/>
    <w:rsid w:val="003E660A"/>
    <w:rsid w:val="003F0EB4"/>
    <w:rsid w:val="003F199B"/>
    <w:rsid w:val="003F21A2"/>
    <w:rsid w:val="00400425"/>
    <w:rsid w:val="004009A6"/>
    <w:rsid w:val="0040262C"/>
    <w:rsid w:val="00403EF8"/>
    <w:rsid w:val="00404096"/>
    <w:rsid w:val="004054A2"/>
    <w:rsid w:val="004057A9"/>
    <w:rsid w:val="00407683"/>
    <w:rsid w:val="00407A69"/>
    <w:rsid w:val="004107A4"/>
    <w:rsid w:val="00411265"/>
    <w:rsid w:val="00415508"/>
    <w:rsid w:val="00416844"/>
    <w:rsid w:val="004204D3"/>
    <w:rsid w:val="00420B6E"/>
    <w:rsid w:val="00421F85"/>
    <w:rsid w:val="004236B0"/>
    <w:rsid w:val="0042413B"/>
    <w:rsid w:val="004258DF"/>
    <w:rsid w:val="004279FC"/>
    <w:rsid w:val="00433075"/>
    <w:rsid w:val="004355DA"/>
    <w:rsid w:val="00435CFB"/>
    <w:rsid w:val="00435DE7"/>
    <w:rsid w:val="0044002A"/>
    <w:rsid w:val="00440645"/>
    <w:rsid w:val="00440A22"/>
    <w:rsid w:val="00441DDF"/>
    <w:rsid w:val="00442D1E"/>
    <w:rsid w:val="00444455"/>
    <w:rsid w:val="00445752"/>
    <w:rsid w:val="004460E8"/>
    <w:rsid w:val="00446B47"/>
    <w:rsid w:val="00447329"/>
    <w:rsid w:val="00447B9E"/>
    <w:rsid w:val="0045122A"/>
    <w:rsid w:val="00451AAE"/>
    <w:rsid w:val="00453714"/>
    <w:rsid w:val="004564C8"/>
    <w:rsid w:val="00456E71"/>
    <w:rsid w:val="00460F27"/>
    <w:rsid w:val="0046205E"/>
    <w:rsid w:val="004635EF"/>
    <w:rsid w:val="00463BA7"/>
    <w:rsid w:val="00464302"/>
    <w:rsid w:val="0046739F"/>
    <w:rsid w:val="00472C62"/>
    <w:rsid w:val="00473CD9"/>
    <w:rsid w:val="00475A50"/>
    <w:rsid w:val="00477987"/>
    <w:rsid w:val="004815F2"/>
    <w:rsid w:val="004821CF"/>
    <w:rsid w:val="00483379"/>
    <w:rsid w:val="00483852"/>
    <w:rsid w:val="00483976"/>
    <w:rsid w:val="00485AE5"/>
    <w:rsid w:val="00485BD1"/>
    <w:rsid w:val="004870A3"/>
    <w:rsid w:val="00487D58"/>
    <w:rsid w:val="00490BDC"/>
    <w:rsid w:val="004917EF"/>
    <w:rsid w:val="00495090"/>
    <w:rsid w:val="004967FD"/>
    <w:rsid w:val="00496AAD"/>
    <w:rsid w:val="00497F51"/>
    <w:rsid w:val="004A0AC6"/>
    <w:rsid w:val="004A1669"/>
    <w:rsid w:val="004A3239"/>
    <w:rsid w:val="004A4136"/>
    <w:rsid w:val="004A6E75"/>
    <w:rsid w:val="004A7021"/>
    <w:rsid w:val="004A7434"/>
    <w:rsid w:val="004B1ED5"/>
    <w:rsid w:val="004B616E"/>
    <w:rsid w:val="004B6C6A"/>
    <w:rsid w:val="004C0E20"/>
    <w:rsid w:val="004C10BE"/>
    <w:rsid w:val="004C2660"/>
    <w:rsid w:val="004C2825"/>
    <w:rsid w:val="004C34DC"/>
    <w:rsid w:val="004C570C"/>
    <w:rsid w:val="004C5E15"/>
    <w:rsid w:val="004D030E"/>
    <w:rsid w:val="004D08EF"/>
    <w:rsid w:val="004D0D10"/>
    <w:rsid w:val="004D4C11"/>
    <w:rsid w:val="004D5D61"/>
    <w:rsid w:val="004D6184"/>
    <w:rsid w:val="004E1B9E"/>
    <w:rsid w:val="004E2336"/>
    <w:rsid w:val="004E7FBF"/>
    <w:rsid w:val="004F0A2E"/>
    <w:rsid w:val="004F347D"/>
    <w:rsid w:val="004F5A3B"/>
    <w:rsid w:val="004F69F1"/>
    <w:rsid w:val="004F7A44"/>
    <w:rsid w:val="004F7C8B"/>
    <w:rsid w:val="00500B1A"/>
    <w:rsid w:val="005024A6"/>
    <w:rsid w:val="00502BEA"/>
    <w:rsid w:val="005032F1"/>
    <w:rsid w:val="00504254"/>
    <w:rsid w:val="00504D26"/>
    <w:rsid w:val="00506DB0"/>
    <w:rsid w:val="005119C6"/>
    <w:rsid w:val="00512446"/>
    <w:rsid w:val="005139EA"/>
    <w:rsid w:val="00514B45"/>
    <w:rsid w:val="005167EA"/>
    <w:rsid w:val="00520C65"/>
    <w:rsid w:val="005264F3"/>
    <w:rsid w:val="0052702B"/>
    <w:rsid w:val="00531747"/>
    <w:rsid w:val="005318F8"/>
    <w:rsid w:val="00531FBD"/>
    <w:rsid w:val="00532AD7"/>
    <w:rsid w:val="005358D5"/>
    <w:rsid w:val="00536642"/>
    <w:rsid w:val="0053757D"/>
    <w:rsid w:val="005415C8"/>
    <w:rsid w:val="00542079"/>
    <w:rsid w:val="005428C3"/>
    <w:rsid w:val="005438F9"/>
    <w:rsid w:val="0054405F"/>
    <w:rsid w:val="005449C6"/>
    <w:rsid w:val="00545B6C"/>
    <w:rsid w:val="0055390A"/>
    <w:rsid w:val="00555F78"/>
    <w:rsid w:val="005615F8"/>
    <w:rsid w:val="0056244F"/>
    <w:rsid w:val="00562C9F"/>
    <w:rsid w:val="00562D64"/>
    <w:rsid w:val="005649E4"/>
    <w:rsid w:val="0056596D"/>
    <w:rsid w:val="0057051B"/>
    <w:rsid w:val="0057137E"/>
    <w:rsid w:val="00571877"/>
    <w:rsid w:val="0057441D"/>
    <w:rsid w:val="00575C0B"/>
    <w:rsid w:val="00577284"/>
    <w:rsid w:val="0058140B"/>
    <w:rsid w:val="00581A96"/>
    <w:rsid w:val="00581AE4"/>
    <w:rsid w:val="00581F27"/>
    <w:rsid w:val="005821E8"/>
    <w:rsid w:val="00585222"/>
    <w:rsid w:val="0059353F"/>
    <w:rsid w:val="005942EC"/>
    <w:rsid w:val="00594D28"/>
    <w:rsid w:val="00597EFB"/>
    <w:rsid w:val="005A086E"/>
    <w:rsid w:val="005A6FAF"/>
    <w:rsid w:val="005B0278"/>
    <w:rsid w:val="005B1F67"/>
    <w:rsid w:val="005B490A"/>
    <w:rsid w:val="005B4F1F"/>
    <w:rsid w:val="005B5476"/>
    <w:rsid w:val="005B55D1"/>
    <w:rsid w:val="005B7D0A"/>
    <w:rsid w:val="005C053F"/>
    <w:rsid w:val="005C2614"/>
    <w:rsid w:val="005D2FC3"/>
    <w:rsid w:val="005D3A5C"/>
    <w:rsid w:val="005D582C"/>
    <w:rsid w:val="005E1969"/>
    <w:rsid w:val="005E3057"/>
    <w:rsid w:val="005E3D82"/>
    <w:rsid w:val="005E6870"/>
    <w:rsid w:val="005F2863"/>
    <w:rsid w:val="005F2FCA"/>
    <w:rsid w:val="005F7281"/>
    <w:rsid w:val="005F7B64"/>
    <w:rsid w:val="0060006F"/>
    <w:rsid w:val="00601911"/>
    <w:rsid w:val="00601BED"/>
    <w:rsid w:val="006022DA"/>
    <w:rsid w:val="00605420"/>
    <w:rsid w:val="00611447"/>
    <w:rsid w:val="006142C7"/>
    <w:rsid w:val="00615176"/>
    <w:rsid w:val="00615B79"/>
    <w:rsid w:val="006169C4"/>
    <w:rsid w:val="00620325"/>
    <w:rsid w:val="006218AF"/>
    <w:rsid w:val="00622E67"/>
    <w:rsid w:val="00623035"/>
    <w:rsid w:val="00626E41"/>
    <w:rsid w:val="006336A6"/>
    <w:rsid w:val="00635827"/>
    <w:rsid w:val="00635FAC"/>
    <w:rsid w:val="006368D6"/>
    <w:rsid w:val="006408B2"/>
    <w:rsid w:val="0064195D"/>
    <w:rsid w:val="006435FC"/>
    <w:rsid w:val="006474B4"/>
    <w:rsid w:val="0064794A"/>
    <w:rsid w:val="00650500"/>
    <w:rsid w:val="00651401"/>
    <w:rsid w:val="00654D96"/>
    <w:rsid w:val="006635F9"/>
    <w:rsid w:val="006655CA"/>
    <w:rsid w:val="00666651"/>
    <w:rsid w:val="00666EF4"/>
    <w:rsid w:val="006714D6"/>
    <w:rsid w:val="00674F98"/>
    <w:rsid w:val="00674FAA"/>
    <w:rsid w:val="0067752A"/>
    <w:rsid w:val="00677E63"/>
    <w:rsid w:val="0068151F"/>
    <w:rsid w:val="006831AC"/>
    <w:rsid w:val="006842EE"/>
    <w:rsid w:val="00692279"/>
    <w:rsid w:val="00692D40"/>
    <w:rsid w:val="00695741"/>
    <w:rsid w:val="0069795E"/>
    <w:rsid w:val="006A0D51"/>
    <w:rsid w:val="006A2C44"/>
    <w:rsid w:val="006A3AC5"/>
    <w:rsid w:val="006A4456"/>
    <w:rsid w:val="006A475B"/>
    <w:rsid w:val="006A584D"/>
    <w:rsid w:val="006A5A80"/>
    <w:rsid w:val="006A687B"/>
    <w:rsid w:val="006A6BDE"/>
    <w:rsid w:val="006A71CD"/>
    <w:rsid w:val="006B1456"/>
    <w:rsid w:val="006B1730"/>
    <w:rsid w:val="006B2D26"/>
    <w:rsid w:val="006B2FD2"/>
    <w:rsid w:val="006B5A5E"/>
    <w:rsid w:val="006B630F"/>
    <w:rsid w:val="006B680C"/>
    <w:rsid w:val="006B6A5B"/>
    <w:rsid w:val="006C04EE"/>
    <w:rsid w:val="006C0A0A"/>
    <w:rsid w:val="006C4619"/>
    <w:rsid w:val="006C5454"/>
    <w:rsid w:val="006C75AB"/>
    <w:rsid w:val="006C7DCE"/>
    <w:rsid w:val="006D0235"/>
    <w:rsid w:val="006D142E"/>
    <w:rsid w:val="006D19B4"/>
    <w:rsid w:val="006D2802"/>
    <w:rsid w:val="006D333E"/>
    <w:rsid w:val="006E1145"/>
    <w:rsid w:val="006E11A5"/>
    <w:rsid w:val="006E1EC2"/>
    <w:rsid w:val="006E372E"/>
    <w:rsid w:val="006E402E"/>
    <w:rsid w:val="006F12BA"/>
    <w:rsid w:val="006F180F"/>
    <w:rsid w:val="006F19A3"/>
    <w:rsid w:val="006F54B4"/>
    <w:rsid w:val="006F5BC2"/>
    <w:rsid w:val="006F625B"/>
    <w:rsid w:val="006F662E"/>
    <w:rsid w:val="006F7B34"/>
    <w:rsid w:val="007059D4"/>
    <w:rsid w:val="0071098D"/>
    <w:rsid w:val="00712707"/>
    <w:rsid w:val="00714D64"/>
    <w:rsid w:val="00715225"/>
    <w:rsid w:val="00723662"/>
    <w:rsid w:val="00726D2E"/>
    <w:rsid w:val="00727497"/>
    <w:rsid w:val="007331C0"/>
    <w:rsid w:val="007335A6"/>
    <w:rsid w:val="007342F3"/>
    <w:rsid w:val="007358AF"/>
    <w:rsid w:val="00735962"/>
    <w:rsid w:val="007378DE"/>
    <w:rsid w:val="00740D25"/>
    <w:rsid w:val="00742D53"/>
    <w:rsid w:val="00743161"/>
    <w:rsid w:val="007437B5"/>
    <w:rsid w:val="007451BC"/>
    <w:rsid w:val="00745C04"/>
    <w:rsid w:val="00746635"/>
    <w:rsid w:val="007473D2"/>
    <w:rsid w:val="00747894"/>
    <w:rsid w:val="0075079F"/>
    <w:rsid w:val="007541A7"/>
    <w:rsid w:val="00754905"/>
    <w:rsid w:val="00756288"/>
    <w:rsid w:val="00762ADC"/>
    <w:rsid w:val="00765125"/>
    <w:rsid w:val="00765DFD"/>
    <w:rsid w:val="00766180"/>
    <w:rsid w:val="00766580"/>
    <w:rsid w:val="007666FC"/>
    <w:rsid w:val="007669BE"/>
    <w:rsid w:val="00770A14"/>
    <w:rsid w:val="00770D02"/>
    <w:rsid w:val="00771138"/>
    <w:rsid w:val="00772498"/>
    <w:rsid w:val="007738AE"/>
    <w:rsid w:val="007749BF"/>
    <w:rsid w:val="00777027"/>
    <w:rsid w:val="007778ED"/>
    <w:rsid w:val="00780B24"/>
    <w:rsid w:val="007838F8"/>
    <w:rsid w:val="00785DB7"/>
    <w:rsid w:val="00791039"/>
    <w:rsid w:val="00791642"/>
    <w:rsid w:val="00791D70"/>
    <w:rsid w:val="0079208A"/>
    <w:rsid w:val="007933E0"/>
    <w:rsid w:val="007964DB"/>
    <w:rsid w:val="00796FB8"/>
    <w:rsid w:val="007A0D13"/>
    <w:rsid w:val="007A2EA9"/>
    <w:rsid w:val="007A3BF7"/>
    <w:rsid w:val="007A6C2A"/>
    <w:rsid w:val="007B4B93"/>
    <w:rsid w:val="007B5827"/>
    <w:rsid w:val="007B68F1"/>
    <w:rsid w:val="007B74FE"/>
    <w:rsid w:val="007C0AC8"/>
    <w:rsid w:val="007C186B"/>
    <w:rsid w:val="007C3F92"/>
    <w:rsid w:val="007C4891"/>
    <w:rsid w:val="007C4FA0"/>
    <w:rsid w:val="007C67ED"/>
    <w:rsid w:val="007C770B"/>
    <w:rsid w:val="007D1CAE"/>
    <w:rsid w:val="007D7FE8"/>
    <w:rsid w:val="007E223A"/>
    <w:rsid w:val="007E2630"/>
    <w:rsid w:val="007E291E"/>
    <w:rsid w:val="007E629E"/>
    <w:rsid w:val="007E6326"/>
    <w:rsid w:val="007F2F18"/>
    <w:rsid w:val="007F48E0"/>
    <w:rsid w:val="007F584C"/>
    <w:rsid w:val="007F5CC4"/>
    <w:rsid w:val="007F66AF"/>
    <w:rsid w:val="00803104"/>
    <w:rsid w:val="00805430"/>
    <w:rsid w:val="00805A2F"/>
    <w:rsid w:val="00810C72"/>
    <w:rsid w:val="00813315"/>
    <w:rsid w:val="0081414A"/>
    <w:rsid w:val="0081729D"/>
    <w:rsid w:val="00817C22"/>
    <w:rsid w:val="00824CCB"/>
    <w:rsid w:val="00826C9E"/>
    <w:rsid w:val="0083042D"/>
    <w:rsid w:val="00832E94"/>
    <w:rsid w:val="00834A71"/>
    <w:rsid w:val="00836CB1"/>
    <w:rsid w:val="00843A23"/>
    <w:rsid w:val="00844116"/>
    <w:rsid w:val="00845E03"/>
    <w:rsid w:val="00850660"/>
    <w:rsid w:val="00854075"/>
    <w:rsid w:val="00854B24"/>
    <w:rsid w:val="00855320"/>
    <w:rsid w:val="00855B07"/>
    <w:rsid w:val="00861E63"/>
    <w:rsid w:val="00871B0F"/>
    <w:rsid w:val="00871FCD"/>
    <w:rsid w:val="00872DB5"/>
    <w:rsid w:val="00877281"/>
    <w:rsid w:val="00880174"/>
    <w:rsid w:val="008808AA"/>
    <w:rsid w:val="00883FA3"/>
    <w:rsid w:val="00887889"/>
    <w:rsid w:val="0089395D"/>
    <w:rsid w:val="008A2361"/>
    <w:rsid w:val="008A242F"/>
    <w:rsid w:val="008A34D1"/>
    <w:rsid w:val="008A6077"/>
    <w:rsid w:val="008B20EA"/>
    <w:rsid w:val="008B420A"/>
    <w:rsid w:val="008B4771"/>
    <w:rsid w:val="008B7CC0"/>
    <w:rsid w:val="008B7E05"/>
    <w:rsid w:val="008C09FF"/>
    <w:rsid w:val="008C28DE"/>
    <w:rsid w:val="008C4A7F"/>
    <w:rsid w:val="008C53C1"/>
    <w:rsid w:val="008C5C01"/>
    <w:rsid w:val="008C6E94"/>
    <w:rsid w:val="008C7157"/>
    <w:rsid w:val="008D0218"/>
    <w:rsid w:val="008D1761"/>
    <w:rsid w:val="008D3087"/>
    <w:rsid w:val="008D4592"/>
    <w:rsid w:val="008E0ADD"/>
    <w:rsid w:val="008E2DA0"/>
    <w:rsid w:val="008E364D"/>
    <w:rsid w:val="008E388F"/>
    <w:rsid w:val="008E58E5"/>
    <w:rsid w:val="008E5FA9"/>
    <w:rsid w:val="008E75D0"/>
    <w:rsid w:val="008F0BEC"/>
    <w:rsid w:val="008F1CDB"/>
    <w:rsid w:val="008F1F6A"/>
    <w:rsid w:val="008F26D3"/>
    <w:rsid w:val="008F2C82"/>
    <w:rsid w:val="008F3D1C"/>
    <w:rsid w:val="0091063E"/>
    <w:rsid w:val="00911BAB"/>
    <w:rsid w:val="00913C4F"/>
    <w:rsid w:val="00914C30"/>
    <w:rsid w:val="00914D1A"/>
    <w:rsid w:val="0092183B"/>
    <w:rsid w:val="009259F2"/>
    <w:rsid w:val="00926560"/>
    <w:rsid w:val="0092761F"/>
    <w:rsid w:val="009354B2"/>
    <w:rsid w:val="009355B3"/>
    <w:rsid w:val="00935620"/>
    <w:rsid w:val="0094338F"/>
    <w:rsid w:val="00943462"/>
    <w:rsid w:val="00943F34"/>
    <w:rsid w:val="00944202"/>
    <w:rsid w:val="0094555B"/>
    <w:rsid w:val="009457EE"/>
    <w:rsid w:val="0094701E"/>
    <w:rsid w:val="009478BA"/>
    <w:rsid w:val="00950B56"/>
    <w:rsid w:val="0095434A"/>
    <w:rsid w:val="0095500D"/>
    <w:rsid w:val="00955E10"/>
    <w:rsid w:val="00962379"/>
    <w:rsid w:val="009627A9"/>
    <w:rsid w:val="0096291E"/>
    <w:rsid w:val="009672DE"/>
    <w:rsid w:val="00970021"/>
    <w:rsid w:val="00970AF0"/>
    <w:rsid w:val="00970C6A"/>
    <w:rsid w:val="00971C24"/>
    <w:rsid w:val="00971E1C"/>
    <w:rsid w:val="0097213C"/>
    <w:rsid w:val="0097291E"/>
    <w:rsid w:val="00972E06"/>
    <w:rsid w:val="0097336C"/>
    <w:rsid w:val="009748E8"/>
    <w:rsid w:val="00975D9D"/>
    <w:rsid w:val="009805AC"/>
    <w:rsid w:val="00982D56"/>
    <w:rsid w:val="00985F63"/>
    <w:rsid w:val="00992094"/>
    <w:rsid w:val="00993BA4"/>
    <w:rsid w:val="00995C7A"/>
    <w:rsid w:val="00995CAA"/>
    <w:rsid w:val="009A1F18"/>
    <w:rsid w:val="009A59F4"/>
    <w:rsid w:val="009B0437"/>
    <w:rsid w:val="009B2E6D"/>
    <w:rsid w:val="009B5C40"/>
    <w:rsid w:val="009B68DA"/>
    <w:rsid w:val="009B7292"/>
    <w:rsid w:val="009C066C"/>
    <w:rsid w:val="009C63D9"/>
    <w:rsid w:val="009C6E04"/>
    <w:rsid w:val="009D13F4"/>
    <w:rsid w:val="009D27B6"/>
    <w:rsid w:val="009D3E4A"/>
    <w:rsid w:val="009E3757"/>
    <w:rsid w:val="009E46BF"/>
    <w:rsid w:val="009E4DC5"/>
    <w:rsid w:val="009E53C9"/>
    <w:rsid w:val="009E53D2"/>
    <w:rsid w:val="009E723F"/>
    <w:rsid w:val="009E7918"/>
    <w:rsid w:val="009F0F8F"/>
    <w:rsid w:val="009F1450"/>
    <w:rsid w:val="009F5856"/>
    <w:rsid w:val="009F7C2B"/>
    <w:rsid w:val="00A00161"/>
    <w:rsid w:val="00A02226"/>
    <w:rsid w:val="00A032DA"/>
    <w:rsid w:val="00A0351E"/>
    <w:rsid w:val="00A05FC1"/>
    <w:rsid w:val="00A06EAB"/>
    <w:rsid w:val="00A1073D"/>
    <w:rsid w:val="00A10BCE"/>
    <w:rsid w:val="00A1255B"/>
    <w:rsid w:val="00A16B8F"/>
    <w:rsid w:val="00A209F8"/>
    <w:rsid w:val="00A2242D"/>
    <w:rsid w:val="00A23EDE"/>
    <w:rsid w:val="00A265E7"/>
    <w:rsid w:val="00A26DE4"/>
    <w:rsid w:val="00A30C79"/>
    <w:rsid w:val="00A32C4B"/>
    <w:rsid w:val="00A33E02"/>
    <w:rsid w:val="00A4058C"/>
    <w:rsid w:val="00A44781"/>
    <w:rsid w:val="00A45B26"/>
    <w:rsid w:val="00A45BA2"/>
    <w:rsid w:val="00A47555"/>
    <w:rsid w:val="00A53571"/>
    <w:rsid w:val="00A544F8"/>
    <w:rsid w:val="00A54A21"/>
    <w:rsid w:val="00A556C4"/>
    <w:rsid w:val="00A63BB7"/>
    <w:rsid w:val="00A641E9"/>
    <w:rsid w:val="00A64E34"/>
    <w:rsid w:val="00A658E3"/>
    <w:rsid w:val="00A65C26"/>
    <w:rsid w:val="00A6688D"/>
    <w:rsid w:val="00A71E8D"/>
    <w:rsid w:val="00A742BA"/>
    <w:rsid w:val="00A75AC3"/>
    <w:rsid w:val="00A76DB8"/>
    <w:rsid w:val="00A7737D"/>
    <w:rsid w:val="00A77C4E"/>
    <w:rsid w:val="00A813F5"/>
    <w:rsid w:val="00A85FBF"/>
    <w:rsid w:val="00A87B48"/>
    <w:rsid w:val="00A90A05"/>
    <w:rsid w:val="00A92CFC"/>
    <w:rsid w:val="00A96DBB"/>
    <w:rsid w:val="00A974B5"/>
    <w:rsid w:val="00A978FC"/>
    <w:rsid w:val="00AA0B93"/>
    <w:rsid w:val="00AA11F3"/>
    <w:rsid w:val="00AA2A57"/>
    <w:rsid w:val="00AA3268"/>
    <w:rsid w:val="00AA3C72"/>
    <w:rsid w:val="00AA7DFB"/>
    <w:rsid w:val="00AB0A3F"/>
    <w:rsid w:val="00AB46CF"/>
    <w:rsid w:val="00AB6042"/>
    <w:rsid w:val="00AB6E4A"/>
    <w:rsid w:val="00AC0302"/>
    <w:rsid w:val="00AC1BCC"/>
    <w:rsid w:val="00AC390D"/>
    <w:rsid w:val="00AC418D"/>
    <w:rsid w:val="00AC56E2"/>
    <w:rsid w:val="00AC7489"/>
    <w:rsid w:val="00AD0D7B"/>
    <w:rsid w:val="00AD1509"/>
    <w:rsid w:val="00AD1751"/>
    <w:rsid w:val="00AD2678"/>
    <w:rsid w:val="00AD3127"/>
    <w:rsid w:val="00AD3D24"/>
    <w:rsid w:val="00AD4B15"/>
    <w:rsid w:val="00AD54D3"/>
    <w:rsid w:val="00AD5CAA"/>
    <w:rsid w:val="00AD7488"/>
    <w:rsid w:val="00AE0B7F"/>
    <w:rsid w:val="00AE1DA6"/>
    <w:rsid w:val="00AE1EF3"/>
    <w:rsid w:val="00AE266D"/>
    <w:rsid w:val="00AE274F"/>
    <w:rsid w:val="00AE51AC"/>
    <w:rsid w:val="00AF0585"/>
    <w:rsid w:val="00AF2754"/>
    <w:rsid w:val="00AF3373"/>
    <w:rsid w:val="00AF33DA"/>
    <w:rsid w:val="00AF5397"/>
    <w:rsid w:val="00AF53A6"/>
    <w:rsid w:val="00AF6C04"/>
    <w:rsid w:val="00B00146"/>
    <w:rsid w:val="00B02247"/>
    <w:rsid w:val="00B035D8"/>
    <w:rsid w:val="00B04954"/>
    <w:rsid w:val="00B11579"/>
    <w:rsid w:val="00B12035"/>
    <w:rsid w:val="00B120F3"/>
    <w:rsid w:val="00B169DD"/>
    <w:rsid w:val="00B16A5A"/>
    <w:rsid w:val="00B16FAA"/>
    <w:rsid w:val="00B21596"/>
    <w:rsid w:val="00B21DBC"/>
    <w:rsid w:val="00B2507C"/>
    <w:rsid w:val="00B256E0"/>
    <w:rsid w:val="00B25DFA"/>
    <w:rsid w:val="00B26A45"/>
    <w:rsid w:val="00B275BA"/>
    <w:rsid w:val="00B315B2"/>
    <w:rsid w:val="00B34149"/>
    <w:rsid w:val="00B36361"/>
    <w:rsid w:val="00B432B6"/>
    <w:rsid w:val="00B43ACA"/>
    <w:rsid w:val="00B44B91"/>
    <w:rsid w:val="00B44C71"/>
    <w:rsid w:val="00B467C6"/>
    <w:rsid w:val="00B5182A"/>
    <w:rsid w:val="00B51A79"/>
    <w:rsid w:val="00B52637"/>
    <w:rsid w:val="00B53BAE"/>
    <w:rsid w:val="00B54851"/>
    <w:rsid w:val="00B5518D"/>
    <w:rsid w:val="00B55485"/>
    <w:rsid w:val="00B603B4"/>
    <w:rsid w:val="00B61374"/>
    <w:rsid w:val="00B616B0"/>
    <w:rsid w:val="00B62CDF"/>
    <w:rsid w:val="00B64BCE"/>
    <w:rsid w:val="00B658C0"/>
    <w:rsid w:val="00B66C73"/>
    <w:rsid w:val="00B719C8"/>
    <w:rsid w:val="00B71D35"/>
    <w:rsid w:val="00B76C69"/>
    <w:rsid w:val="00B81C79"/>
    <w:rsid w:val="00B81F37"/>
    <w:rsid w:val="00B82556"/>
    <w:rsid w:val="00B828C4"/>
    <w:rsid w:val="00B84590"/>
    <w:rsid w:val="00B87D47"/>
    <w:rsid w:val="00B87DBB"/>
    <w:rsid w:val="00B91A52"/>
    <w:rsid w:val="00B92CA6"/>
    <w:rsid w:val="00BA0F33"/>
    <w:rsid w:val="00BA3223"/>
    <w:rsid w:val="00BA6151"/>
    <w:rsid w:val="00BA79AD"/>
    <w:rsid w:val="00BB0814"/>
    <w:rsid w:val="00BB0FBC"/>
    <w:rsid w:val="00BB3D5F"/>
    <w:rsid w:val="00BC14ED"/>
    <w:rsid w:val="00BC1B24"/>
    <w:rsid w:val="00BC265B"/>
    <w:rsid w:val="00BC41FE"/>
    <w:rsid w:val="00BC679E"/>
    <w:rsid w:val="00BC69E5"/>
    <w:rsid w:val="00BD0C8C"/>
    <w:rsid w:val="00BD0CC1"/>
    <w:rsid w:val="00BD1898"/>
    <w:rsid w:val="00BD2932"/>
    <w:rsid w:val="00BD2E5F"/>
    <w:rsid w:val="00BD3B39"/>
    <w:rsid w:val="00BD47BB"/>
    <w:rsid w:val="00BD5FC4"/>
    <w:rsid w:val="00BE0B18"/>
    <w:rsid w:val="00BE4D46"/>
    <w:rsid w:val="00BE4D94"/>
    <w:rsid w:val="00BF0028"/>
    <w:rsid w:val="00BF0116"/>
    <w:rsid w:val="00BF4370"/>
    <w:rsid w:val="00BF6224"/>
    <w:rsid w:val="00C04964"/>
    <w:rsid w:val="00C0534A"/>
    <w:rsid w:val="00C0576F"/>
    <w:rsid w:val="00C06042"/>
    <w:rsid w:val="00C06467"/>
    <w:rsid w:val="00C0729D"/>
    <w:rsid w:val="00C11248"/>
    <w:rsid w:val="00C1149C"/>
    <w:rsid w:val="00C14963"/>
    <w:rsid w:val="00C16B8B"/>
    <w:rsid w:val="00C25ABD"/>
    <w:rsid w:val="00C25AE1"/>
    <w:rsid w:val="00C30E01"/>
    <w:rsid w:val="00C3307B"/>
    <w:rsid w:val="00C3475A"/>
    <w:rsid w:val="00C34DFE"/>
    <w:rsid w:val="00C366A9"/>
    <w:rsid w:val="00C379E0"/>
    <w:rsid w:val="00C445F9"/>
    <w:rsid w:val="00C46B43"/>
    <w:rsid w:val="00C474BE"/>
    <w:rsid w:val="00C5122C"/>
    <w:rsid w:val="00C52417"/>
    <w:rsid w:val="00C61B04"/>
    <w:rsid w:val="00C62711"/>
    <w:rsid w:val="00C6277C"/>
    <w:rsid w:val="00C62A72"/>
    <w:rsid w:val="00C657FA"/>
    <w:rsid w:val="00C661B1"/>
    <w:rsid w:val="00C70142"/>
    <w:rsid w:val="00C702D0"/>
    <w:rsid w:val="00C7221F"/>
    <w:rsid w:val="00C72E4B"/>
    <w:rsid w:val="00C746A0"/>
    <w:rsid w:val="00C76146"/>
    <w:rsid w:val="00C76F7E"/>
    <w:rsid w:val="00C81368"/>
    <w:rsid w:val="00C81692"/>
    <w:rsid w:val="00C84621"/>
    <w:rsid w:val="00C84AFE"/>
    <w:rsid w:val="00C865E8"/>
    <w:rsid w:val="00C879E5"/>
    <w:rsid w:val="00C87B2A"/>
    <w:rsid w:val="00C94AA5"/>
    <w:rsid w:val="00CA4574"/>
    <w:rsid w:val="00CA49B4"/>
    <w:rsid w:val="00CA6D0B"/>
    <w:rsid w:val="00CA7496"/>
    <w:rsid w:val="00CA769A"/>
    <w:rsid w:val="00CA7EEF"/>
    <w:rsid w:val="00CB16C9"/>
    <w:rsid w:val="00CB1A48"/>
    <w:rsid w:val="00CB25B9"/>
    <w:rsid w:val="00CB54D3"/>
    <w:rsid w:val="00CB59D7"/>
    <w:rsid w:val="00CB7BED"/>
    <w:rsid w:val="00CC1774"/>
    <w:rsid w:val="00CC2FC7"/>
    <w:rsid w:val="00CC4CBE"/>
    <w:rsid w:val="00CC5053"/>
    <w:rsid w:val="00CC6E85"/>
    <w:rsid w:val="00CD17F3"/>
    <w:rsid w:val="00CD1888"/>
    <w:rsid w:val="00CD2DC0"/>
    <w:rsid w:val="00CD40F1"/>
    <w:rsid w:val="00CD5C2F"/>
    <w:rsid w:val="00CD5D83"/>
    <w:rsid w:val="00CD5FF0"/>
    <w:rsid w:val="00CE0401"/>
    <w:rsid w:val="00CE4F15"/>
    <w:rsid w:val="00CE69AF"/>
    <w:rsid w:val="00CE7680"/>
    <w:rsid w:val="00CE7BC5"/>
    <w:rsid w:val="00CF1750"/>
    <w:rsid w:val="00CF1E40"/>
    <w:rsid w:val="00CF237E"/>
    <w:rsid w:val="00CF282C"/>
    <w:rsid w:val="00CF28A7"/>
    <w:rsid w:val="00CF3DEE"/>
    <w:rsid w:val="00CF47EF"/>
    <w:rsid w:val="00D01192"/>
    <w:rsid w:val="00D03522"/>
    <w:rsid w:val="00D03D5A"/>
    <w:rsid w:val="00D07A52"/>
    <w:rsid w:val="00D130BA"/>
    <w:rsid w:val="00D153E2"/>
    <w:rsid w:val="00D15441"/>
    <w:rsid w:val="00D15E8D"/>
    <w:rsid w:val="00D17AB9"/>
    <w:rsid w:val="00D207B6"/>
    <w:rsid w:val="00D20E0F"/>
    <w:rsid w:val="00D20FCB"/>
    <w:rsid w:val="00D221B0"/>
    <w:rsid w:val="00D22AAB"/>
    <w:rsid w:val="00D23A53"/>
    <w:rsid w:val="00D25229"/>
    <w:rsid w:val="00D25B62"/>
    <w:rsid w:val="00D277B9"/>
    <w:rsid w:val="00D27EAE"/>
    <w:rsid w:val="00D30784"/>
    <w:rsid w:val="00D30D9D"/>
    <w:rsid w:val="00D3728C"/>
    <w:rsid w:val="00D413F0"/>
    <w:rsid w:val="00D41A14"/>
    <w:rsid w:val="00D42C50"/>
    <w:rsid w:val="00D453AE"/>
    <w:rsid w:val="00D4669F"/>
    <w:rsid w:val="00D4722B"/>
    <w:rsid w:val="00D50A01"/>
    <w:rsid w:val="00D50ADA"/>
    <w:rsid w:val="00D516E4"/>
    <w:rsid w:val="00D516EF"/>
    <w:rsid w:val="00D518F0"/>
    <w:rsid w:val="00D5317A"/>
    <w:rsid w:val="00D567B0"/>
    <w:rsid w:val="00D578E4"/>
    <w:rsid w:val="00D6120F"/>
    <w:rsid w:val="00D648D5"/>
    <w:rsid w:val="00D66822"/>
    <w:rsid w:val="00D7450B"/>
    <w:rsid w:val="00D74DCE"/>
    <w:rsid w:val="00D74FE6"/>
    <w:rsid w:val="00D810E5"/>
    <w:rsid w:val="00D82ABE"/>
    <w:rsid w:val="00D83DAC"/>
    <w:rsid w:val="00D84A1B"/>
    <w:rsid w:val="00D875B8"/>
    <w:rsid w:val="00D87F6F"/>
    <w:rsid w:val="00D9124A"/>
    <w:rsid w:val="00D92A04"/>
    <w:rsid w:val="00D92B22"/>
    <w:rsid w:val="00D94519"/>
    <w:rsid w:val="00D94839"/>
    <w:rsid w:val="00D948DF"/>
    <w:rsid w:val="00D9528F"/>
    <w:rsid w:val="00D95527"/>
    <w:rsid w:val="00D96FFC"/>
    <w:rsid w:val="00D97016"/>
    <w:rsid w:val="00D97AD1"/>
    <w:rsid w:val="00DA1307"/>
    <w:rsid w:val="00DA1DDC"/>
    <w:rsid w:val="00DA485B"/>
    <w:rsid w:val="00DB01DA"/>
    <w:rsid w:val="00DB49FF"/>
    <w:rsid w:val="00DB4A97"/>
    <w:rsid w:val="00DB4CB1"/>
    <w:rsid w:val="00DB711B"/>
    <w:rsid w:val="00DC0815"/>
    <w:rsid w:val="00DC0DA9"/>
    <w:rsid w:val="00DC10D4"/>
    <w:rsid w:val="00DC2C6E"/>
    <w:rsid w:val="00DC546F"/>
    <w:rsid w:val="00DD07AD"/>
    <w:rsid w:val="00DD087B"/>
    <w:rsid w:val="00DD0B76"/>
    <w:rsid w:val="00DD145F"/>
    <w:rsid w:val="00DD369F"/>
    <w:rsid w:val="00DD3717"/>
    <w:rsid w:val="00DD4F76"/>
    <w:rsid w:val="00DD6745"/>
    <w:rsid w:val="00DD6928"/>
    <w:rsid w:val="00DD7B70"/>
    <w:rsid w:val="00DE3F91"/>
    <w:rsid w:val="00DE54CB"/>
    <w:rsid w:val="00DE59D8"/>
    <w:rsid w:val="00DF355D"/>
    <w:rsid w:val="00DF6206"/>
    <w:rsid w:val="00DF767C"/>
    <w:rsid w:val="00E00823"/>
    <w:rsid w:val="00E01E66"/>
    <w:rsid w:val="00E03260"/>
    <w:rsid w:val="00E0439B"/>
    <w:rsid w:val="00E04A0D"/>
    <w:rsid w:val="00E06581"/>
    <w:rsid w:val="00E10349"/>
    <w:rsid w:val="00E127BE"/>
    <w:rsid w:val="00E12D9A"/>
    <w:rsid w:val="00E142F3"/>
    <w:rsid w:val="00E14B32"/>
    <w:rsid w:val="00E15AEF"/>
    <w:rsid w:val="00E15DBE"/>
    <w:rsid w:val="00E1707D"/>
    <w:rsid w:val="00E25C07"/>
    <w:rsid w:val="00E27312"/>
    <w:rsid w:val="00E30771"/>
    <w:rsid w:val="00E31404"/>
    <w:rsid w:val="00E31513"/>
    <w:rsid w:val="00E318B7"/>
    <w:rsid w:val="00E3319B"/>
    <w:rsid w:val="00E3322C"/>
    <w:rsid w:val="00E33692"/>
    <w:rsid w:val="00E34664"/>
    <w:rsid w:val="00E34A68"/>
    <w:rsid w:val="00E4298B"/>
    <w:rsid w:val="00E42C6D"/>
    <w:rsid w:val="00E435C0"/>
    <w:rsid w:val="00E47595"/>
    <w:rsid w:val="00E50535"/>
    <w:rsid w:val="00E50654"/>
    <w:rsid w:val="00E50D89"/>
    <w:rsid w:val="00E516AD"/>
    <w:rsid w:val="00E54054"/>
    <w:rsid w:val="00E57159"/>
    <w:rsid w:val="00E61DBE"/>
    <w:rsid w:val="00E64519"/>
    <w:rsid w:val="00E64E89"/>
    <w:rsid w:val="00E664DF"/>
    <w:rsid w:val="00E666C5"/>
    <w:rsid w:val="00E676AF"/>
    <w:rsid w:val="00E67B96"/>
    <w:rsid w:val="00E67DA8"/>
    <w:rsid w:val="00E7620A"/>
    <w:rsid w:val="00E77A1B"/>
    <w:rsid w:val="00E80525"/>
    <w:rsid w:val="00E80D3E"/>
    <w:rsid w:val="00E81B09"/>
    <w:rsid w:val="00E81F52"/>
    <w:rsid w:val="00E83DED"/>
    <w:rsid w:val="00E83E03"/>
    <w:rsid w:val="00E8597C"/>
    <w:rsid w:val="00E871E9"/>
    <w:rsid w:val="00E87E04"/>
    <w:rsid w:val="00E96AD0"/>
    <w:rsid w:val="00E97112"/>
    <w:rsid w:val="00E9746D"/>
    <w:rsid w:val="00EA0B27"/>
    <w:rsid w:val="00EA3F9A"/>
    <w:rsid w:val="00EA46DA"/>
    <w:rsid w:val="00EA7175"/>
    <w:rsid w:val="00EA7CA0"/>
    <w:rsid w:val="00EA7CC6"/>
    <w:rsid w:val="00EA7E36"/>
    <w:rsid w:val="00EB2AFF"/>
    <w:rsid w:val="00EB450A"/>
    <w:rsid w:val="00EB5A03"/>
    <w:rsid w:val="00EB5FFA"/>
    <w:rsid w:val="00EC09B3"/>
    <w:rsid w:val="00EC3C72"/>
    <w:rsid w:val="00EC3EB6"/>
    <w:rsid w:val="00EC4AED"/>
    <w:rsid w:val="00EC58B2"/>
    <w:rsid w:val="00EC5AD0"/>
    <w:rsid w:val="00EC684E"/>
    <w:rsid w:val="00EC7764"/>
    <w:rsid w:val="00EC7DB7"/>
    <w:rsid w:val="00ED1153"/>
    <w:rsid w:val="00ED121C"/>
    <w:rsid w:val="00ED2C21"/>
    <w:rsid w:val="00ED3426"/>
    <w:rsid w:val="00ED44F7"/>
    <w:rsid w:val="00ED6EFE"/>
    <w:rsid w:val="00EE408A"/>
    <w:rsid w:val="00EE433D"/>
    <w:rsid w:val="00EE7D0E"/>
    <w:rsid w:val="00EF04CF"/>
    <w:rsid w:val="00EF17FA"/>
    <w:rsid w:val="00EF35BF"/>
    <w:rsid w:val="00EF64E6"/>
    <w:rsid w:val="00F002E3"/>
    <w:rsid w:val="00F0077F"/>
    <w:rsid w:val="00F04C15"/>
    <w:rsid w:val="00F04DA9"/>
    <w:rsid w:val="00F04E2B"/>
    <w:rsid w:val="00F1083B"/>
    <w:rsid w:val="00F133A8"/>
    <w:rsid w:val="00F20EDF"/>
    <w:rsid w:val="00F21080"/>
    <w:rsid w:val="00F21E68"/>
    <w:rsid w:val="00F24FF0"/>
    <w:rsid w:val="00F25FFE"/>
    <w:rsid w:val="00F2640F"/>
    <w:rsid w:val="00F27883"/>
    <w:rsid w:val="00F303B5"/>
    <w:rsid w:val="00F308A4"/>
    <w:rsid w:val="00F30CD1"/>
    <w:rsid w:val="00F31209"/>
    <w:rsid w:val="00F323A9"/>
    <w:rsid w:val="00F33B73"/>
    <w:rsid w:val="00F33D36"/>
    <w:rsid w:val="00F342E9"/>
    <w:rsid w:val="00F3557E"/>
    <w:rsid w:val="00F36B2E"/>
    <w:rsid w:val="00F371F0"/>
    <w:rsid w:val="00F371F7"/>
    <w:rsid w:val="00F42794"/>
    <w:rsid w:val="00F447F6"/>
    <w:rsid w:val="00F4550F"/>
    <w:rsid w:val="00F45D7B"/>
    <w:rsid w:val="00F45E57"/>
    <w:rsid w:val="00F504BF"/>
    <w:rsid w:val="00F53D73"/>
    <w:rsid w:val="00F603E6"/>
    <w:rsid w:val="00F60B57"/>
    <w:rsid w:val="00F60CB7"/>
    <w:rsid w:val="00F61B46"/>
    <w:rsid w:val="00F646B4"/>
    <w:rsid w:val="00F66A11"/>
    <w:rsid w:val="00F70713"/>
    <w:rsid w:val="00F71A6F"/>
    <w:rsid w:val="00F71CD1"/>
    <w:rsid w:val="00F71F4B"/>
    <w:rsid w:val="00F71FFB"/>
    <w:rsid w:val="00F723C5"/>
    <w:rsid w:val="00F74BD2"/>
    <w:rsid w:val="00F74D2D"/>
    <w:rsid w:val="00F859BA"/>
    <w:rsid w:val="00F878D9"/>
    <w:rsid w:val="00F9148A"/>
    <w:rsid w:val="00F917AA"/>
    <w:rsid w:val="00F932AE"/>
    <w:rsid w:val="00F9388B"/>
    <w:rsid w:val="00F938B7"/>
    <w:rsid w:val="00F93BBB"/>
    <w:rsid w:val="00F94946"/>
    <w:rsid w:val="00F965F6"/>
    <w:rsid w:val="00FA32E5"/>
    <w:rsid w:val="00FA48F1"/>
    <w:rsid w:val="00FA6BA6"/>
    <w:rsid w:val="00FB1450"/>
    <w:rsid w:val="00FB1499"/>
    <w:rsid w:val="00FB5097"/>
    <w:rsid w:val="00FB542D"/>
    <w:rsid w:val="00FB72CA"/>
    <w:rsid w:val="00FB7430"/>
    <w:rsid w:val="00FC1C48"/>
    <w:rsid w:val="00FC3215"/>
    <w:rsid w:val="00FC38D7"/>
    <w:rsid w:val="00FC3EAC"/>
    <w:rsid w:val="00FC49C6"/>
    <w:rsid w:val="00FC68BD"/>
    <w:rsid w:val="00FC7426"/>
    <w:rsid w:val="00FC787F"/>
    <w:rsid w:val="00FD0AB5"/>
    <w:rsid w:val="00FD16E5"/>
    <w:rsid w:val="00FD19C6"/>
    <w:rsid w:val="00FD3525"/>
    <w:rsid w:val="00FD4836"/>
    <w:rsid w:val="00FD4B7B"/>
    <w:rsid w:val="00FD531F"/>
    <w:rsid w:val="00FD625E"/>
    <w:rsid w:val="00FD6FBF"/>
    <w:rsid w:val="00FD7916"/>
    <w:rsid w:val="00FE052A"/>
    <w:rsid w:val="00FE0B44"/>
    <w:rsid w:val="00FF37F4"/>
    <w:rsid w:val="00FF588A"/>
    <w:rsid w:val="00FF6CF5"/>
    <w:rsid w:val="00FF6DB9"/>
    <w:rsid w:val="01A73B56"/>
    <w:rsid w:val="0213982A"/>
    <w:rsid w:val="02D41115"/>
    <w:rsid w:val="03AD8532"/>
    <w:rsid w:val="041A7AE5"/>
    <w:rsid w:val="0671D471"/>
    <w:rsid w:val="0758A36F"/>
    <w:rsid w:val="076620B1"/>
    <w:rsid w:val="077200B3"/>
    <w:rsid w:val="07F14380"/>
    <w:rsid w:val="090E9504"/>
    <w:rsid w:val="09F96CE4"/>
    <w:rsid w:val="0B0628A1"/>
    <w:rsid w:val="0B42EE45"/>
    <w:rsid w:val="0BD60409"/>
    <w:rsid w:val="0DD133CE"/>
    <w:rsid w:val="0F385380"/>
    <w:rsid w:val="0FA7E350"/>
    <w:rsid w:val="1146E847"/>
    <w:rsid w:val="1268BBB6"/>
    <w:rsid w:val="12D7D014"/>
    <w:rsid w:val="13AC43DE"/>
    <w:rsid w:val="182F9F99"/>
    <w:rsid w:val="1875E669"/>
    <w:rsid w:val="1940E77C"/>
    <w:rsid w:val="195DD719"/>
    <w:rsid w:val="1ACF9879"/>
    <w:rsid w:val="1B39F3EC"/>
    <w:rsid w:val="1B9D126B"/>
    <w:rsid w:val="1C753D21"/>
    <w:rsid w:val="1E74179F"/>
    <w:rsid w:val="2117118C"/>
    <w:rsid w:val="2168E8FE"/>
    <w:rsid w:val="22701A57"/>
    <w:rsid w:val="23637549"/>
    <w:rsid w:val="24003195"/>
    <w:rsid w:val="242EA5AD"/>
    <w:rsid w:val="247810A6"/>
    <w:rsid w:val="25492986"/>
    <w:rsid w:val="26937E1F"/>
    <w:rsid w:val="27686646"/>
    <w:rsid w:val="279A1F88"/>
    <w:rsid w:val="29D2BF73"/>
    <w:rsid w:val="2A67BDD6"/>
    <w:rsid w:val="2A89ED7F"/>
    <w:rsid w:val="2AA00708"/>
    <w:rsid w:val="2B60A55B"/>
    <w:rsid w:val="2BD5DCA0"/>
    <w:rsid w:val="2BEDF2AA"/>
    <w:rsid w:val="2C7EE3F1"/>
    <w:rsid w:val="2CB3892B"/>
    <w:rsid w:val="2D165701"/>
    <w:rsid w:val="2D4F69EE"/>
    <w:rsid w:val="2D6F70BA"/>
    <w:rsid w:val="2D842153"/>
    <w:rsid w:val="2DFA1E73"/>
    <w:rsid w:val="2E37C9EC"/>
    <w:rsid w:val="30F083E3"/>
    <w:rsid w:val="311F2D8F"/>
    <w:rsid w:val="3138E024"/>
    <w:rsid w:val="314BF13D"/>
    <w:rsid w:val="31930F18"/>
    <w:rsid w:val="3299FF3D"/>
    <w:rsid w:val="32CAB552"/>
    <w:rsid w:val="32D97020"/>
    <w:rsid w:val="33561996"/>
    <w:rsid w:val="3373A4C6"/>
    <w:rsid w:val="343264B0"/>
    <w:rsid w:val="34844AD4"/>
    <w:rsid w:val="3524E7FF"/>
    <w:rsid w:val="354E250F"/>
    <w:rsid w:val="358013B8"/>
    <w:rsid w:val="35CECA2E"/>
    <w:rsid w:val="36AB4588"/>
    <w:rsid w:val="36E2C2DC"/>
    <w:rsid w:val="385E8D28"/>
    <w:rsid w:val="3BE9EA8D"/>
    <w:rsid w:val="3DF5B91A"/>
    <w:rsid w:val="3E8084BE"/>
    <w:rsid w:val="3EB6576D"/>
    <w:rsid w:val="4003E040"/>
    <w:rsid w:val="41A4B5DD"/>
    <w:rsid w:val="41D783D9"/>
    <w:rsid w:val="439FD332"/>
    <w:rsid w:val="43D6DC43"/>
    <w:rsid w:val="441A0A13"/>
    <w:rsid w:val="44C69100"/>
    <w:rsid w:val="4649318D"/>
    <w:rsid w:val="481B3DE5"/>
    <w:rsid w:val="48E6FA32"/>
    <w:rsid w:val="4AC71B67"/>
    <w:rsid w:val="4B121574"/>
    <w:rsid w:val="4B191873"/>
    <w:rsid w:val="4B1F11A2"/>
    <w:rsid w:val="4C7FF026"/>
    <w:rsid w:val="4DBA6B55"/>
    <w:rsid w:val="4FBF8445"/>
    <w:rsid w:val="511E26C0"/>
    <w:rsid w:val="516327AC"/>
    <w:rsid w:val="517CE003"/>
    <w:rsid w:val="51AF1D9A"/>
    <w:rsid w:val="51D4C004"/>
    <w:rsid w:val="5225E460"/>
    <w:rsid w:val="525A6051"/>
    <w:rsid w:val="52CE89A7"/>
    <w:rsid w:val="52E38F21"/>
    <w:rsid w:val="5309EDA9"/>
    <w:rsid w:val="540289D9"/>
    <w:rsid w:val="54447E34"/>
    <w:rsid w:val="545446E7"/>
    <w:rsid w:val="547A86F0"/>
    <w:rsid w:val="54AB0986"/>
    <w:rsid w:val="55187E86"/>
    <w:rsid w:val="55F4C935"/>
    <w:rsid w:val="55FD2EF4"/>
    <w:rsid w:val="572D24C1"/>
    <w:rsid w:val="58BC2AB9"/>
    <w:rsid w:val="5934CFB6"/>
    <w:rsid w:val="59922A2B"/>
    <w:rsid w:val="59F763B4"/>
    <w:rsid w:val="5A5123F4"/>
    <w:rsid w:val="5A9C125B"/>
    <w:rsid w:val="5BC4FA82"/>
    <w:rsid w:val="5C7D3E6F"/>
    <w:rsid w:val="5D60CAE3"/>
    <w:rsid w:val="5D62D9CE"/>
    <w:rsid w:val="5D7CF235"/>
    <w:rsid w:val="5D9E9BA4"/>
    <w:rsid w:val="606C7097"/>
    <w:rsid w:val="6074E857"/>
    <w:rsid w:val="60B7576A"/>
    <w:rsid w:val="60D18216"/>
    <w:rsid w:val="613FE19B"/>
    <w:rsid w:val="63F8A384"/>
    <w:rsid w:val="6671324A"/>
    <w:rsid w:val="674CAF28"/>
    <w:rsid w:val="67653A6F"/>
    <w:rsid w:val="676E0DA8"/>
    <w:rsid w:val="68C960C4"/>
    <w:rsid w:val="69196101"/>
    <w:rsid w:val="6BE868A7"/>
    <w:rsid w:val="6C22C29C"/>
    <w:rsid w:val="6CDF9829"/>
    <w:rsid w:val="6DBF39BC"/>
    <w:rsid w:val="6FB7E263"/>
    <w:rsid w:val="7365FAB8"/>
    <w:rsid w:val="73760CC0"/>
    <w:rsid w:val="73BED88F"/>
    <w:rsid w:val="74075A78"/>
    <w:rsid w:val="762C4C4A"/>
    <w:rsid w:val="79E358E1"/>
    <w:rsid w:val="7A0613FA"/>
    <w:rsid w:val="7A9607F8"/>
    <w:rsid w:val="7AD5C50B"/>
    <w:rsid w:val="7AEA2215"/>
    <w:rsid w:val="7B490749"/>
    <w:rsid w:val="7BF909D3"/>
    <w:rsid w:val="7D08EDF3"/>
    <w:rsid w:val="7E7D5F72"/>
    <w:rsid w:val="7EB6A3F1"/>
    <w:rsid w:val="7EEA3DF8"/>
    <w:rsid w:val="7F3038E6"/>
    <w:rsid w:val="7F6F77F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C0DC44FC-7217-4A7B-B5D2-9F024B8CB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4D08EF"/>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UnresolvedMention1">
    <w:name w:val="Unresolved Mention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styleId="CommentReference">
    <w:name w:val="annotation reference"/>
    <w:basedOn w:val="DefaultParagraphFont"/>
    <w:uiPriority w:val="99"/>
    <w:semiHidden/>
    <w:unhideWhenUsed/>
    <w:rsid w:val="006A6BDE"/>
    <w:rPr>
      <w:sz w:val="16"/>
      <w:szCs w:val="16"/>
    </w:rPr>
  </w:style>
  <w:style w:type="paragraph" w:styleId="Caption">
    <w:name w:val="caption"/>
    <w:basedOn w:val="Normal"/>
    <w:next w:val="Normal"/>
    <w:uiPriority w:val="35"/>
    <w:unhideWhenUsed/>
    <w:qFormat/>
    <w:rsid w:val="006A6BDE"/>
    <w:pPr>
      <w:spacing w:after="200"/>
    </w:pPr>
    <w:rPr>
      <w:rFonts w:eastAsia="Times New Roman"/>
      <w:i/>
      <w:iCs/>
      <w:color w:val="44546A" w:themeColor="text2"/>
      <w:sz w:val="24"/>
      <w:szCs w:val="18"/>
    </w:rPr>
  </w:style>
  <w:style w:type="table" w:styleId="PlainTable2">
    <w:name w:val="Plain Table 2"/>
    <w:basedOn w:val="TableNormal"/>
    <w:uiPriority w:val="42"/>
    <w:rsid w:val="006A6BDE"/>
    <w:pPr>
      <w:spacing w:before="100"/>
      <w:ind w:left="720" w:hanging="360"/>
    </w:pPr>
    <w:rPr>
      <w:rFonts w:eastAsia="MS Mincho"/>
      <w:sz w:val="22"/>
      <w:szCs w:val="22"/>
      <w:lang w:val="es-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
    <w:name w:val="Table Grid"/>
    <w:basedOn w:val="TableNormal"/>
    <w:uiPriority w:val="39"/>
    <w:rsid w:val="00FC68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56596D"/>
    <w:pPr>
      <w:spacing w:line="480" w:lineRule="auto"/>
      <w:ind w:left="720" w:hanging="720"/>
    </w:pPr>
  </w:style>
  <w:style w:type="paragraph" w:styleId="Revision">
    <w:name w:val="Revision"/>
    <w:hidden/>
    <w:uiPriority w:val="99"/>
    <w:semiHidden/>
    <w:rsid w:val="001E15C2"/>
    <w:rPr>
      <w:rFonts w:ascii="Times New Roman" w:eastAsia="Calibri" w:hAnsi="Times New Roman" w:cs="Times New Roman"/>
      <w:sz w:val="20"/>
      <w:szCs w:val="20"/>
    </w:rPr>
  </w:style>
  <w:style w:type="paragraph" w:styleId="CommentText">
    <w:name w:val="annotation text"/>
    <w:basedOn w:val="Normal"/>
    <w:link w:val="CommentTextChar"/>
    <w:uiPriority w:val="99"/>
    <w:unhideWhenUsed/>
    <w:rsid w:val="00A45BA2"/>
  </w:style>
  <w:style w:type="character" w:customStyle="1" w:styleId="CommentTextChar">
    <w:name w:val="Comment Text Char"/>
    <w:basedOn w:val="DefaultParagraphFont"/>
    <w:link w:val="CommentText"/>
    <w:uiPriority w:val="99"/>
    <w:rsid w:val="00A45BA2"/>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45BA2"/>
    <w:rPr>
      <w:b/>
      <w:bCs/>
    </w:rPr>
  </w:style>
  <w:style w:type="character" w:customStyle="1" w:styleId="CommentSubjectChar">
    <w:name w:val="Comment Subject Char"/>
    <w:basedOn w:val="CommentTextChar"/>
    <w:link w:val="CommentSubject"/>
    <w:uiPriority w:val="99"/>
    <w:semiHidden/>
    <w:rsid w:val="00A45BA2"/>
    <w:rPr>
      <w:rFonts w:ascii="Times New Roman" w:eastAsia="Calibri" w:hAnsi="Times New Roman" w:cs="Times New Roman"/>
      <w:b/>
      <w:bCs/>
      <w:sz w:val="20"/>
      <w:szCs w:val="20"/>
    </w:rPr>
  </w:style>
  <w:style w:type="character" w:styleId="PlaceholderText">
    <w:name w:val="Placeholder Text"/>
    <w:basedOn w:val="DefaultParagraphFont"/>
    <w:uiPriority w:val="99"/>
    <w:semiHidden/>
    <w:rsid w:val="00381901"/>
    <w:rPr>
      <w:color w:val="808080"/>
    </w:rPr>
  </w:style>
  <w:style w:type="paragraph" w:customStyle="1" w:styleId="SMHeading">
    <w:name w:val="SM Heading"/>
    <w:basedOn w:val="Heading1"/>
    <w:qFormat/>
    <w:rsid w:val="004D08EF"/>
    <w:pPr>
      <w:keepLines w:val="0"/>
      <w:spacing w:after="60"/>
    </w:pPr>
    <w:rPr>
      <w:rFonts w:ascii="Times New Roman" w:eastAsia="Times New Roman" w:hAnsi="Times New Roman" w:cs="Times New Roman"/>
      <w:b/>
      <w:bCs/>
      <w:color w:val="auto"/>
      <w:kern w:val="32"/>
      <w:sz w:val="24"/>
      <w:szCs w:val="24"/>
    </w:rPr>
  </w:style>
  <w:style w:type="character" w:customStyle="1" w:styleId="Heading1Char">
    <w:name w:val="Heading 1 Char"/>
    <w:basedOn w:val="DefaultParagraphFont"/>
    <w:link w:val="Heading1"/>
    <w:uiPriority w:val="9"/>
    <w:rsid w:val="004D08EF"/>
    <w:rPr>
      <w:rFonts w:asciiTheme="majorHAnsi" w:eastAsiaTheme="majorEastAsia" w:hAnsiTheme="majorHAnsi" w:cstheme="majorBidi"/>
      <w:color w:val="2E74B5" w:themeColor="accent1" w:themeShade="BF"/>
      <w:sz w:val="32"/>
      <w:szCs w:val="32"/>
    </w:rPr>
  </w:style>
  <w:style w:type="character" w:customStyle="1" w:styleId="ui-provider">
    <w:name w:val="ui-provider"/>
    <w:basedOn w:val="DefaultParagraphFont"/>
    <w:rsid w:val="001F10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40331">
      <w:bodyDiv w:val="1"/>
      <w:marLeft w:val="0"/>
      <w:marRight w:val="0"/>
      <w:marTop w:val="0"/>
      <w:marBottom w:val="0"/>
      <w:divBdr>
        <w:top w:val="none" w:sz="0" w:space="0" w:color="auto"/>
        <w:left w:val="none" w:sz="0" w:space="0" w:color="auto"/>
        <w:bottom w:val="none" w:sz="0" w:space="0" w:color="auto"/>
        <w:right w:val="none" w:sz="0" w:space="0" w:color="auto"/>
      </w:divBdr>
      <w:divsChild>
        <w:div w:id="1693459172">
          <w:marLeft w:val="0"/>
          <w:marRight w:val="0"/>
          <w:marTop w:val="0"/>
          <w:marBottom w:val="0"/>
          <w:divBdr>
            <w:top w:val="none" w:sz="0" w:space="0" w:color="auto"/>
            <w:left w:val="none" w:sz="0" w:space="0" w:color="auto"/>
            <w:bottom w:val="none" w:sz="0" w:space="0" w:color="auto"/>
            <w:right w:val="none" w:sz="0" w:space="0" w:color="auto"/>
          </w:divBdr>
          <w:divsChild>
            <w:div w:id="610282218">
              <w:marLeft w:val="0"/>
              <w:marRight w:val="0"/>
              <w:marTop w:val="0"/>
              <w:marBottom w:val="0"/>
              <w:divBdr>
                <w:top w:val="none" w:sz="0" w:space="0" w:color="auto"/>
                <w:left w:val="none" w:sz="0" w:space="0" w:color="auto"/>
                <w:bottom w:val="none" w:sz="0" w:space="0" w:color="auto"/>
                <w:right w:val="none" w:sz="0" w:space="0" w:color="auto"/>
              </w:divBdr>
              <w:divsChild>
                <w:div w:id="121808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762312">
      <w:bodyDiv w:val="1"/>
      <w:marLeft w:val="0"/>
      <w:marRight w:val="0"/>
      <w:marTop w:val="0"/>
      <w:marBottom w:val="0"/>
      <w:divBdr>
        <w:top w:val="none" w:sz="0" w:space="0" w:color="auto"/>
        <w:left w:val="none" w:sz="0" w:space="0" w:color="auto"/>
        <w:bottom w:val="none" w:sz="0" w:space="0" w:color="auto"/>
        <w:right w:val="none" w:sz="0" w:space="0" w:color="auto"/>
      </w:divBdr>
      <w:divsChild>
        <w:div w:id="1396389345">
          <w:marLeft w:val="0"/>
          <w:marRight w:val="0"/>
          <w:marTop w:val="0"/>
          <w:marBottom w:val="0"/>
          <w:divBdr>
            <w:top w:val="none" w:sz="0" w:space="0" w:color="auto"/>
            <w:left w:val="none" w:sz="0" w:space="0" w:color="auto"/>
            <w:bottom w:val="none" w:sz="0" w:space="0" w:color="auto"/>
            <w:right w:val="none" w:sz="0" w:space="0" w:color="auto"/>
          </w:divBdr>
          <w:divsChild>
            <w:div w:id="320542080">
              <w:marLeft w:val="0"/>
              <w:marRight w:val="0"/>
              <w:marTop w:val="0"/>
              <w:marBottom w:val="0"/>
              <w:divBdr>
                <w:top w:val="none" w:sz="0" w:space="0" w:color="auto"/>
                <w:left w:val="none" w:sz="0" w:space="0" w:color="auto"/>
                <w:bottom w:val="none" w:sz="0" w:space="0" w:color="auto"/>
                <w:right w:val="none" w:sz="0" w:space="0" w:color="auto"/>
              </w:divBdr>
              <w:divsChild>
                <w:div w:id="21089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88979472">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25367052">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arinasg@oregonstate.edu)"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912A08-6747-4D7E-8A59-C63215D16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19656</Words>
  <Characters>108113</Characters>
  <Application>Microsoft Office Word</Application>
  <DocSecurity>0</DocSecurity>
  <Lines>900</Lines>
  <Paragraphs>255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Barinas Sanchez, Gabriel</cp:lastModifiedBy>
  <cp:revision>3</cp:revision>
  <dcterms:created xsi:type="dcterms:W3CDTF">2023-11-28T02:19:00Z</dcterms:created>
  <dcterms:modified xsi:type="dcterms:W3CDTF">2023-11-28T02:19:00Z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id="e8xyYrIr"/&gt;&lt;style id="http://www.zotero.org/styles/american-geophysical-union" hasBibliography="1" bibliographyStyleHasBeenSet="1"/&gt;&lt;prefs&gt;&lt;pref name="fieldType" value="Field"/&gt;&lt;/prefs&gt;&lt;/data&gt;</vt:lpwstr>
  </property>
</Properties>
</file>